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StPO — Haftbefehl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Untersuchungshaft wird durch schriftlichen Haftbefehl des Richters angeordnet.</w:t>
      </w:r>
    </w:p>
    <w:p>
      <w:r>
        <w:t xml:space="preserve">(2) In dem Haftbefehl sind anzuführen</w:t>
      </w:r>
    </w:p>
    <w:p>
      <w:pPr>
        <w:ind w:left="420"/>
      </w:pPr>
      <w:r>
        <w:t xml:space="preserve">1. der Beschuldigte,</w:t>
      </w:r>
    </w:p>
    <w:p>
      <w:pPr>
        <w:ind w:left="420"/>
      </w:pPr>
      <w:r>
        <w:t xml:space="preserve">2. die Tat, deren er dringend verdächtig ist, Zeit und Ort ihrer Begehung, die gesetzlichen Merkmale der Straftat und die anzuwendenden Strafvorschriften,</w:t>
      </w:r>
    </w:p>
    <w:p>
      <w:pPr>
        <w:ind w:left="420"/>
      </w:pPr>
      <w:r>
        <w:t xml:space="preserve">3. der Haftgrund sowie</w:t>
      </w:r>
    </w:p>
    <w:p>
      <w:pPr>
        <w:ind w:left="420"/>
      </w:pPr>
      <w:r>
        <w:t xml:space="preserve">4. die Tatsachen, aus denen sich der dringende Tatverdacht und der Haftgrund ergibt, soweit nicht dadurch die Staatssicherheit gefährdet wird.</w:t>
      </w:r>
    </w:p>
    <w:p>
      <w:r>
        <w:t xml:space="preserve">(3) Wenn die Anwendung des § 112 Abs. 1 Satz 2 naheliegt oder der Beschuldigte sich auf diese Vorschrift beruft, sind die Gründe dafür anzugeben, daß sie nicht angewandt wurde.</w:t>
      </w:r>
    </w:p>
    <w:p>
      <w:r>
        <w:rPr>
          <w:color w:val="555555"/>
          <w:sz w:val="17"/>
        </w:rPr>
        <w:t xml:space="preserve">Zitiervorschlag: § 114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