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112a StPO — Haftgrund der Wiederholungsgefahr</w:t>
      </w:r>
    </w:p>
    <w:p>
      <w:r>
        <w:rPr>
          <w:color w:val="555555"/>
          <w:sz w:val="18"/>
        </w:rPr>
        <w:t xml:space="preserve">Strafprozeßordnung</w:t>
      </w:r>
    </w:p>
    <w:p>
      <w:r>
        <w:rPr>
          <w:color w:val="555555"/>
          <w:sz w:val="18"/>
        </w:rPr>
        <w:t xml:space="preserve">Stand: 02.04.2026 (konsolidierte Textfassung, kein amtliches Inkrafttretensdatum)</w:t>
      </w:r>
    </w:p>
    <w:p>
      <w:r>
        <w:t xml:space="preserve">(1) Ein Haftgrund besteht auch, wenn der Beschuldigte dringend verdächtig ist,</w:t>
      </w:r>
    </w:p>
    <w:p>
      <w:pPr>
        <w:ind w:left="420"/>
      </w:pPr>
      <w:r>
        <w:t xml:space="preserve">1. eine Straftat nach den §§ 174, 174a, 176 bis 176d, 177, 178, 184b Absatz 2 oder nach § 238 Abs. 2 und 3 des Strafgesetzbuches oder</w:t>
      </w:r>
    </w:p>
    <w:p>
      <w:pPr>
        <w:ind w:left="420"/>
      </w:pPr>
      <w:r>
        <w:t xml:space="preserve">2. wiederholt oder fortgesetzt eine die Rechtsordnung schwerwiegend beeinträchtigende Straftat nach § 89a Absatz 1 bis 7, § 89c Absatz 1 sowie Absatz 3 und 4, wenn es sich um eine Tat nach Absatz 1 handelt, nach § 125a, nach den §§ 224 bis 227, nach den §§ 243, 244, 249 bis 255, 260, nach § 263, nach den §§ 306 bis 306c oder § 316a des Strafgesetzbuches oder nach § 29 Absatz 1 Satz 1 Nummer 1, 10 oder Abs. 3, § 29a Abs. 1, § 30 Abs. 1, § 30a Abs. 1 des Betäubungsmittelgesetzes oder nach einer in § 34 Absatz 3 Satz 2 Nummer 1, 3 oder Nummer 4 des Konsumcannabisgesetzes in Bezug genommenen Vorschrift unter den dort genannten Voraussetzungen oder nach § 34 Absatz 4 des Konsumcannabisgesetzes oder nach einer in § 25 Absatz 4 Satz 2 Nummer 1, 3 oder Nummer 4 des Medizinal-Cannabisgesetzes in Bezug genommenen Vorschrift unter den dort genannten Voraussetzungen oder nach § 25 Absatz 5 des Medizinal-Cannabisgesetzes oder nach § 4 Absatz 3 Nummer 1 Buchstabe a des Neue-psychoaktive-Stoffe-Gesetzes</w:t>
      </w:r>
    </w:p>
    <w:p>
      <w:r>
        <w:t xml:space="preserve">begangen zu haben, und bestimmte Tatsachen die Gefahr begründen, daß er vor rechtskräftiger Aburteilung weitere erhebliche Straftaten gleicher Art begehen oder die Straftat fortsetzen werde, die Haft zur Abwendung der drohenden Gefahr erforderlich und in den Fällen der Nummer 2 eine Freiheitsstrafe von mehr als einem Jahr zu erwarten ist. In die Beurteilung des dringenden Verdachts einer Tatbegehung im Sinne des Satzes 1 Nummer 2 sind auch solche Taten einzubeziehen, die Gegenstand anderer, auch rechtskräftig abgeschlossener, Verfahren sind oder waren.</w:t>
      </w:r>
    </w:p>
    <w:p>
      <w:r>
        <w:t xml:space="preserve">(2) Absatz 1 findet keine Anwendung, wenn die Voraussetzungen für den Erlaß eines Haftbefehls nach § 112 vorliegen und die Voraussetzungen für die Aussetzung des Vollzugs des Haftbefehls nach § 116 Abs. 1, 2 nicht gegeben sind.</w:t>
      </w:r>
    </w:p>
    <w:p>
      <w:r>
        <w:rPr>
          <w:color w:val="555555"/>
          <w:sz w:val="17"/>
        </w:rPr>
        <w:t xml:space="preserve">Zitiervorschlag: § 112a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