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111n StPO — Herausgabe beweglicher Sachen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Wird eine bewegliche Sache, die nach § 94 beschlagnahmt oder auf andere Weise sichergestellt oder nach § 111c Absatz 1 beschlagnahmt worden ist, für Zwecke des Strafverfahrens nicht mehr benötigt, so wird sie an den letzten Gewahrsamsinhaber herausgegeben.</w:t>
      </w:r>
    </w:p>
    <w:p>
      <w:r>
        <w:t xml:space="preserve">(2) Abweichend von Absatz 1 wird die Sache an denjenigen herausgegeben, dem sie durch die Straftat unmittelbar entzogen worden ist, wenn dieser bekannt ist.</w:t>
      </w:r>
    </w:p>
    <w:p>
      <w:r>
        <w:t xml:space="preserve">(3) Steht der Herausgabe nach Absatz 1 oder Absatz 2 der Anspruch eines Dritten entgegen, wird die Sache an den Dritten herausgegeben, wenn dieser bekannt ist.</w:t>
      </w:r>
    </w:p>
    <w:p>
      <w:r>
        <w:t xml:space="preserve">(4) Die Herausgabe erfolgt nur, wenn ihre Voraussetzungen offenkundig sind.</w:t>
      </w:r>
    </w:p>
    <w:p>
      <w:r>
        <w:rPr>
          <w:color w:val="555555"/>
          <w:sz w:val="17"/>
        </w:rPr>
        <w:t xml:space="preserve">Zitiervorschlag: § 111n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https://recht.nulegal.eu/gesetze/StPO/111n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