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111h StPO — Wirkung der Vollziehung des Vermögensarrestes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Vollziehung des Vermögensarrestes in einen Gegenstand hat die Wirkung eines Veräußerungsverbots im Sinne des § 136 des Bürgerlichen Gesetzbuchs. Für das Sicherungsrecht, das in Vollziehung des Vermögensarrestes entsteht, gilt § 80 Absatz 2 Satz 2 der Insolvenzordnung.</w:t>
      </w:r>
    </w:p>
    <w:p>
      <w:r>
        <w:t xml:space="preserve">(2) Zwangsvollstreckungen in Gegenstände, die im Wege der Arrestvollziehung nach § 111f gesichert worden sind, sind während der Dauer der Arrestvollziehung nicht zulässig. Die Vollziehung einer Arrestanordnung nach § 324 der Abgabenordnung bleibt unberührt, soweit der Arrestanspruch aus der Straftat erwachsen ist.</w:t>
      </w:r>
    </w:p>
    <w:p>
      <w:r>
        <w:rPr>
          <w:color w:val="555555"/>
          <w:sz w:val="17"/>
        </w:rPr>
        <w:t xml:space="preserve">Zitiervorschlag: § 111h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https://recht.nulegal.eu/gesetze/StPO/111h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