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111c StPO — Vollziehung der Beschlagnahme</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Beschlagnahme einer beweglichen Sache wird dadurch vollzogen, dass die Sache in Gewahrsam genommen wird. Die Beschlagnahme kann auch dadurch vollzogen werden, dass sie durch Siegel oder in anderer Weise kenntlich gemacht wird.</w:t>
      </w:r>
    </w:p>
    <w:p>
      <w:r>
        <w:t xml:space="preserve">(2) Die Beschlagnahme einer Forderung oder eines anderen Vermögensrechtes, das nicht den Vorschriften über die Zwangsvollstreckung in das unbewegliche Vermögen unterliegt, wird durch Pfändung vollzogen. Die Vorschriften der Zivilprozessordnung über die Zwangsvollstreckung in Forderungen und andere Vermögensrechte sind insoweit sinngemäß anzuwenden. Die Aufforderung zur Abgabe der in § 840 Absatz 1 der Zivilprozessordnung bezeichneten Erklärungen ist in den Pfändungsbeschluss aufzunehmen.</w:t>
      </w:r>
    </w:p>
    <w:p>
      <w:r>
        <w:t xml:space="preserve">(3) Die Beschlagnahme eines Grundstücks oder eines Rechts, das den Vorschriften über die Zwangsvollstreckung in das unbewegliche Vermögen unterliegt, wird durch ihre Eintragung im Grundbuch vollzogen. Die Vorschriften des Gesetzes über die Zwangsversteigerung und Zwangsverwaltung über den Umfang der Beschlagnahme bei der Zwangsversteigerung gelten entsprechend.</w:t>
      </w:r>
    </w:p>
    <w:p>
      <w:r>
        <w:t xml:space="preserve">(4) Die Beschlagnahme eines Schiffes, eines Schiffsbauwerks oder eines Luftfahrzeugs wird nach Absatz 1 vollzogen. Ist der Gegenstand im Schiffs- oder Schiffsbauregister oder im Register für Pfandrechte an Luftfahrzeugen eingetragen, ist die Beschlagnahme in diesem Register einzutragen. Zu diesem Zweck können eintragungsfähige Schiffsbauwerke oder Luftfahrzeuge zur Eintragung angemeldet werden; die Vorschriften, die bei der Anmeldung durch eine Person, die auf Grund eines vollstreckbaren Titels eine Eintragung im Register verlangen kann, anzuwenden sind, gelten hierbei entsprechend.</w:t>
      </w:r>
    </w:p>
    <w:p>
      <w:r>
        <w:rPr>
          <w:color w:val="555555"/>
          <w:sz w:val="17"/>
        </w:rPr>
        <w:t xml:space="preserve">Zitiervorschlag: § 111c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