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110b StPO — Verfahren beim Einsatz eines Verdeckten Ermittlers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Einsatz eines Verdeckten Ermittlers ist erst nach Zustimmung der Staatsanwaltschaft zulässig. Besteht Gefahr im Verzug und kann die Entscheidung der Staatsanwaltschaft nicht rechtzeitig eingeholt werden, so ist sie unverzüglich herbeizuführen; die Maßnahme ist zu beenden, wenn nicht die Staatsanwaltschaft binnen drei Werktagen zustimmt. Die Zustimmung ist schriftlich zu erteilen und zu befristen. Eine Verlängerung ist zulässig, solange die Voraussetzungen für den Einsatz fortbestehen.</w:t>
      </w:r>
    </w:p>
    <w:p>
      <w:r>
        <w:t xml:space="preserve">(2) Einsätze,</w:t>
      </w:r>
    </w:p>
    <w:p>
      <w:pPr>
        <w:ind w:left="420"/>
      </w:pPr>
      <w:r>
        <w:t xml:space="preserve">1. die sich gegen einen bestimmten Beschuldigten richten oder</w:t>
      </w:r>
    </w:p>
    <w:p>
      <w:pPr>
        <w:ind w:left="420"/>
      </w:pPr>
      <w:r>
        <w:t xml:space="preserve">2. bei denen der Verdeckte Ermittler eine Wohnung betritt, die nicht allgemein zugänglich ist,</w:t>
      </w:r>
    </w:p>
    <w:p>
      <w:r>
        <w:t xml:space="preserve">bedürfen der Zustimmung des Gerichts. Bei Gefahr im Verzug genügt die Zustimmung der Staatsanwaltschaft. Kann die Entscheidung der Staatsanwaltschaft nicht rechtzeitig eingeholt werden, so ist sie unverzüglich herbeizuführen. Die Maßnahme ist zu beenden, wenn nicht das Gericht binnen drei Werktagen zustimmt. Absatz 1 Satz 3 und 4 gilt entsprechend.</w:t>
      </w:r>
    </w:p>
    <w:p>
      <w:r>
        <w:t xml:space="preserve">(3) Die Identität des Verdeckten Ermittlers kann auch nach Beendigung des Einsatzes geheimgehalten werden. Die Staatsanwaltschaft und das Gericht, die für die Entscheidung über die Zustimmung zu dem Einsatz zuständig sind, können verlangen, daß die Identität ihnen gegenüber offenbart wird. Im übrigen ist in einem Strafverfahren die Geheimhaltung der Identität nach Maßgabe des § 96 zulässig, insbesondere dann, wenn Anlaß zu der Besorgnis besteht, daß die Offenbarung Leben, Leib oder Freiheit des Verdeckten Ermittlers oder einer anderen Person oder die Möglichkeit der weiteren Verwendung des Verdeckten Ermittlers gefährden würde.</w:t>
      </w:r>
    </w:p>
    <w:p>
      <w:r>
        <w:rPr>
          <w:color w:val="555555"/>
          <w:sz w:val="17"/>
        </w:rPr>
        <w:t xml:space="preserve">Zitiervorschlag: § 110b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