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StPO — Durchsicht von Papieren und elektronischen Speichermedien</w:t>
      </w:r>
    </w:p>
    <w:p>
      <w:r>
        <w:rPr>
          <w:color w:val="555555"/>
          <w:sz w:val="18"/>
        </w:rPr>
        <w:t xml:space="preserve">Strafprozeßordnung</w:t>
      </w:r>
    </w:p>
    <w:p>
      <w:r>
        <w:rPr>
          <w:color w:val="555555"/>
          <w:sz w:val="18"/>
        </w:rPr>
        <w:t xml:space="preserve">Stand: 01.07.2021 (konsolidierte Textfassung, kein amtliches Inkrafttretensdatum)</w:t>
      </w:r>
    </w:p>
    <w:p>
      <w:r>
        <w:t xml:space="preserve">(1) Die Durchsicht der Papiere des von der Durchsuchung Betroffenen steht der Staatsanwaltschaft und auf deren Anordnung ihren Ermittlungspersonen (§ 152 des Gerichtsverfassungsgesetzes) zu.</w:t>
      </w:r>
    </w:p>
    <w:p>
      <w:r>
        <w:t xml:space="preserve">(2) Im Übrigen sind Beamte zur Durchsicht der aufgefundenen Papiere nur dann befugt, wenn der Inhaber die Durchsicht genehmigt. Andernfalls haben sie die Papiere, deren Durchsicht sie für geboten erachten, in einem Umschlag, der in Gegenwart des Inhabers mit dem Amtssiegel zu verschließen ist, an die Staatsanwaltschaft abzuliefern.</w:t>
      </w:r>
    </w:p>
    <w:p>
      <w:r>
        <w:t xml:space="preserve">(3) Nach Maßgabe der Absätze 1 und 2 ist auch die Durchsicht von elektronischen Speichermedien bei dem von der Durchsuchung Betroffenen zulässig. Diese Durchsicht darf auch auf hiervon räumlich getrennte Speichermedien erstreckt werden, soweit auf sie von dem elektronischen Speichermedium aus zugegriffen werden kann, wenn andernfalls der Verlust der gesuchten Daten zu befürchten ist. Daten, die für die Untersuchung von Bedeutung sein können, dürfen gesichert werden.</w:t>
      </w:r>
    </w:p>
    <w:p>
      <w:r>
        <w:t xml:space="preserve">(4) Werden Papiere zur Durchsicht mitgenommen oder Daten vorläufig gesichert, gelten die §§ 95a und 98 Absatz 2 entsprechend.</w:t>
      </w:r>
    </w:p>
    <w:p>
      <w:r>
        <w:rPr>
          <w:color w:val="555555"/>
          <w:sz w:val="17"/>
        </w:rPr>
        <w:t xml:space="preserve">Zitiervorschlag: § 110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