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100b StPO — Online-Durchsuchung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Auch ohne Wissen des Betroffenen darf mit technischen Mitteln in ein von dem Betroffenen genutztes informationstechnisches System eingegriffen und dürfen Daten daraus erhoben werden (Online-Durchsuchung), wenn</w:t>
      </w:r>
    </w:p>
    <w:p>
      <w:pPr>
        <w:ind w:left="420"/>
      </w:pPr>
      <w:r>
        <w:t xml:space="preserve">1. bestimmte Tatsachen den Verdacht begründen, dass jemand als Täter oder Teilnehmer eine in Absatz 2 bezeichnete besonders schwere Straftat begangen oder in Fällen, in denen der Versuch strafbar ist, zu begehen versucht hat,</w:t>
      </w:r>
    </w:p>
    <w:p>
      <w:pPr>
        <w:ind w:left="420"/>
      </w:pPr>
      <w:r>
        <w:t xml:space="preserve">2. die Tat auch im Einzelfall besonders schwer wiegt und</w:t>
      </w:r>
    </w:p>
    <w:p>
      <w:pPr>
        <w:ind w:left="420"/>
      </w:pPr>
      <w:r>
        <w:t xml:space="preserve">3. die Erforschung des Sachverhalts oder die Ermittlung des Aufenthaltsortes des Beschuldigten auf andere Weise wesentlich erschwert oder aussichtslos wäre.</w:t>
      </w:r>
    </w:p>
    <w:p>
      <w:r>
        <w:t xml:space="preserve">(2) Besonders schwere Straftaten im Sinne des Absatzes 1 Nummer 1 sind:</w:t>
      </w:r>
    </w:p>
    <w:p>
      <w:pPr>
        <w:ind w:left="420"/>
      </w:pPr>
      <w:r>
        <w:t xml:space="preserve">1. aus dem Strafgesetzbuch:</w:t>
      </w:r>
    </w:p>
    <w:p>
      <w:pPr>
        <w:ind w:left="780"/>
      </w:pPr>
      <w:r>
        <w:t xml:space="preserve">a) Straftaten des Hochverrats und der Gefährdung des demokratischen Rechtsstaates sowie des Landesverrats und der Gefährdung der äußeren Sicherheit nach den §§ 81, 82, 89a Absatz 1 bis 7, § 89c Absatz 1 sowie Absatz 3 und 4, wenn es sich um eine Tat nach Absatz 1 handelt, nach den §§ 94, 95 Absatz 3 und § 96 Absatz 1, jeweils auch in Verbindung mit § 97b, sowie nach den §§ 97a, 98 Absatz 1 Satz 2, § 99 und den §§ 100, 100a Absatz 4,</w:t>
      </w:r>
    </w:p>
    <w:p>
      <w:pPr>
        <w:ind w:left="780"/>
      </w:pPr>
      <w:r>
        <w:t xml:space="preserve">b) Betreiben krimineller Handelsplattformen im Internet in den Fällen des § 127 Absatz 3 und 4, sofern der Zweck der Handelsplattform im Internet darauf ausgerichtet ist, in den Buchstaben a und c bis o sowie in den Nummern 2 bis 10 genannte besonders schwere Straftaten zu ermöglichen oder zu fördern,</w:t>
      </w:r>
    </w:p>
    <w:p>
      <w:pPr>
        <w:ind w:left="780"/>
      </w:pPr>
      <w:r>
        <w:t xml:space="preserve">c) Bildung krimineller Vereinigungen nach § 129 Absatz 1 in Verbindung mit Absatz 5 Satz 3 und Bildung terroristischer Vereinigungen nach § 129a Absatz 1, 2, 4, 5 Satz 1 erste Alternative, jeweils auch in Verbindung mit § 129b Absatz 1,</w:t>
      </w:r>
    </w:p>
    <w:p>
      <w:pPr>
        <w:ind w:left="780"/>
      </w:pPr>
      <w:r>
        <w:t xml:space="preserve">d) Geld- und Wertzeichenfälschung nach den §§ 146 und 151, jeweils auch in Verbindung mit § 152, sowie nach § 152a Absatz 3 und § 152b Absatz 1 bis 4,</w:t>
      </w:r>
    </w:p>
    <w:p>
      <w:pPr>
        <w:ind w:left="780"/>
      </w:pPr>
      <w:r>
        <w:t xml:space="preserve">e) Straftaten gegen die sexuelle Selbstbestimmung in den Fällen des § 176 Absatz 1 und der §§ 176c, 176d und, unter den in § 177 Absatz 6 Satz 2 Nummer 2 genannten Voraussetzungen, des § 177,</w:t>
      </w:r>
    </w:p>
    <w:p>
      <w:pPr>
        <w:ind w:left="780"/>
      </w:pPr>
      <w:r>
        <w:t xml:space="preserve">f) Verbreitung, Erwerb und Besitz kinderpornografischer Inhalte in den Fällen des § 184b Absatz 1 Satz 1 und Absatz 2,</w:t>
      </w:r>
    </w:p>
    <w:p>
      <w:pPr>
        <w:ind w:left="780"/>
      </w:pPr>
      <w:r>
        <w:t xml:space="preserve">g) Mord und Totschlag nach den §§ 211, 212,</w:t>
      </w:r>
    </w:p>
    <w:p>
      <w:pPr>
        <w:ind w:left="780"/>
      </w:pPr>
      <w:r>
        <w:t xml:space="preserve">h) Straftaten gegen die persönliche Freiheit in den Fällen des § 232 Absatz 2 und 3, des § 232a Absatz 1, 3, 4 und 5 zweiter Halbsatz, des § 232b Absatz 1 und 3 sowie Absatz 4, dieser in Verbindung mit § 232a Absatz 4 und 5 zweiter Halbsatz, des § 233 Absatz 2, des § 233a Absatz 1, 3 und 4 zweiter Halbsatz, der §§ 234 und 234a Absatz 1 und 2 sowie der §§ 239a und 239b,</w:t>
      </w:r>
    </w:p>
    <w:p>
      <w:pPr>
        <w:ind w:left="780"/>
      </w:pPr>
      <w:r>
        <w:t xml:space="preserve">i) Bandendiebstahl nach § 244 Absatz 1 Nummer 2 und schwerer Bandendiebstahl nach § 244a,</w:t>
      </w:r>
    </w:p>
    <w:p>
      <w:pPr>
        <w:ind w:left="780"/>
      </w:pPr>
      <w:r>
        <w:t xml:space="preserve">j) schwerer Raub und Raub mit Todesfolge nach § 250 Absatz 1 oder Absatz 2, § 251,</w:t>
      </w:r>
    </w:p>
    <w:p>
      <w:pPr>
        <w:ind w:left="780"/>
      </w:pPr>
      <w:r>
        <w:t xml:space="preserve">k) räuberische Erpressung nach § 255 und besonders schwerer Fall einer Erpressung nach § 253 unter den in § 253 Absatz 4 Satz 2 genannten Voraussetzungen,</w:t>
      </w:r>
    </w:p>
    <w:p>
      <w:pPr>
        <w:ind w:left="780"/>
      </w:pPr>
      <w:r>
        <w:t xml:space="preserve">l) gewerbsmäßige Hehlerei, Bandenhehlerei und gewerbsmäßige Bandenhehlerei nach den §§ 260, 260a,</w:t>
      </w:r>
    </w:p>
    <w:p>
      <w:pPr>
        <w:ind w:left="780"/>
      </w:pPr>
      <w:r>
        <w:t xml:space="preserve">m) besonders schwerer Fall der Geldwäsche nach § 261 unter den in § 261 Absatz 5 Satz 2 genannten Voraussetzungen, wenn die Vortat eine der in den Nummern 1 bis 7 genannten besonders schweren Straftaten ist,</w:t>
      </w:r>
    </w:p>
    <w:p>
      <w:pPr>
        <w:ind w:left="780"/>
      </w:pPr>
      <w:r>
        <w:t xml:space="preserve">n) Computerbetrug in den Fällen des § 263a Absatz 2 in Verbindung mit § 263 Absatz 5,</w:t>
      </w:r>
    </w:p>
    <w:p>
      <w:pPr>
        <w:ind w:left="780"/>
      </w:pPr>
      <w:r>
        <w:t xml:space="preserve">o) besonders schwerer Fall der Bestechlichkeit und Bestechung nach § 335 Absatz 1 unter den in § 335 Absatz 2 Nummer 1 bis 3 genannten Voraussetzungen,</w:t>
      </w:r>
    </w:p>
    <w:p>
      <w:pPr>
        <w:ind w:left="420"/>
      </w:pPr>
      <w:r>
        <w:t xml:space="preserve">2. aus dem Asylgesetz:</w:t>
      </w:r>
    </w:p>
    <w:p>
      <w:pPr>
        <w:ind w:left="780"/>
      </w:pPr>
      <w:r>
        <w:t xml:space="preserve">a) Verleitung zur missbräuchlichen Asylantragstellung nach § 84 Absatz 3,</w:t>
      </w:r>
    </w:p>
    <w:p>
      <w:pPr>
        <w:ind w:left="780"/>
      </w:pPr>
      <w:r>
        <w:t xml:space="preserve">b) gewerbs- und bandenmäßige Verleitung zur missbräuchlichen Asylantragstellung nach § 84a Absatz 1,</w:t>
      </w:r>
    </w:p>
    <w:p>
      <w:pPr>
        <w:ind w:left="420"/>
      </w:pPr>
      <w:r>
        <w:t xml:space="preserve">3. aus dem Aufenthaltsgesetz:</w:t>
      </w:r>
    </w:p>
    <w:p>
      <w:pPr>
        <w:ind w:left="780"/>
      </w:pPr>
      <w:r>
        <w:t xml:space="preserve">a) Einschleusen von Ausländern nach § 96 Absatz 2,</w:t>
      </w:r>
    </w:p>
    <w:p>
      <w:pPr>
        <w:ind w:left="780"/>
      </w:pPr>
      <w:r>
        <w:t xml:space="preserve">b) Einschleusen mit Todesfolge oder gewerbs- und bandenmäßiges Einschleusen nach § 97,</w:t>
      </w:r>
    </w:p>
    <w:p>
      <w:pPr>
        <w:ind w:left="420"/>
      </w:pPr>
      <w:r>
        <w:t xml:space="preserve">4. aus dem Außenwirtschaftsgesetz:</w:t>
      </w:r>
    </w:p>
    <w:p>
      <w:pPr>
        <w:ind w:left="780"/>
      </w:pPr>
      <w:r>
        <w:t xml:space="preserve">a) Straftaten nach § 17 Absatz 1, 2 und 3, jeweils auch in Verbindung mit Absatz 6 oder 7,</w:t>
      </w:r>
    </w:p>
    <w:p>
      <w:pPr>
        <w:ind w:left="780"/>
      </w:pPr>
      <w:r>
        <w:t xml:space="preserve">b) Straftaten nach § 18 Absatz 7 und 8, jeweils auch in Verbindung mit Absatz 10,</w:t>
      </w:r>
    </w:p>
    <w:p>
      <w:pPr>
        <w:ind w:left="420"/>
      </w:pPr>
      <w:r>
        <w:t xml:space="preserve">5. aus dem Betäubungsmittelgesetz:</w:t>
      </w:r>
    </w:p>
    <w:p>
      <w:pPr>
        <w:ind w:left="780"/>
      </w:pPr>
      <w:r>
        <w:t xml:space="preserve">a) besonders schwerer Fall einer Straftat nach § 29 Absatz 1 Satz 1 Nummer 1, 5, 6, 10, 11 oder 13, Absatz 3 unter der in § 29 Absatz 3 Satz 2 Nummer 1 genannten Voraussetzung,</w:t>
      </w:r>
    </w:p>
    <w:p>
      <w:pPr>
        <w:ind w:left="780"/>
      </w:pPr>
      <w:r>
        <w:t xml:space="preserve">b) eine Straftat nach den §§ 29a, 30 Absatz 1 Nummer 1, 2, 4, § 30a,</w:t>
      </w:r>
    </w:p>
    <w:p>
      <w:pPr>
        <w:ind w:left="420"/>
      </w:pPr>
      <w:r>
        <w:t xml:space="preserve">5a. aus dem Konsumcannabisgesetz:Straftaten nach § 34 Absatz 4 Nummer 1, 3 oder Nummer 4,</w:t>
      </w:r>
    </w:p>
    <w:p>
      <w:pPr>
        <w:ind w:left="420"/>
      </w:pPr>
      <w:r>
        <w:t xml:space="preserve">5b. aus dem Medizinal-Cannabisgesetz:Straftaten nach § 25 Absatz 5 Nummer 1, 3 oder Nummer 4,</w:t>
      </w:r>
    </w:p>
    <w:p>
      <w:pPr>
        <w:ind w:left="420"/>
      </w:pPr>
      <w:r>
        <w:t xml:space="preserve">6. aus dem Gesetz über die Kontrolle von Kriegswaffen:</w:t>
      </w:r>
    </w:p>
    <w:p>
      <w:pPr>
        <w:ind w:left="780"/>
      </w:pPr>
      <w:r>
        <w:t xml:space="preserve">a) eine Straftat nach § 19 Absatz 2 oder § 20 Absatz 1, jeweils auch in Verbindung mit § 21,</w:t>
      </w:r>
    </w:p>
    <w:p>
      <w:pPr>
        <w:ind w:left="780"/>
      </w:pPr>
      <w:r>
        <w:t xml:space="preserve">b) besonders schwerer Fall einer Straftat nach § 22a Absatz 1 in Verbindung mit Absatz 2,</w:t>
      </w:r>
    </w:p>
    <w:p>
      <w:pPr>
        <w:ind w:left="420"/>
      </w:pPr>
      <w:r>
        <w:t xml:space="preserve">7. aus dem Grundstoffüberwachungsgesetz:Straftaten nach § 19 Absatz 3,</w:t>
      </w:r>
    </w:p>
    <w:p>
      <w:pPr>
        <w:ind w:left="420"/>
      </w:pPr>
      <w:r>
        <w:t xml:space="preserve">8. aus dem Neue-psychoaktive-Stoffe-Gesetz:Straftaten nach § 4 Absatz 3 Nummer 1,</w:t>
      </w:r>
    </w:p>
    <w:p>
      <w:pPr>
        <w:ind w:left="420"/>
      </w:pPr>
      <w:r>
        <w:t xml:space="preserve">9. aus dem Völkerstrafgesetzbuch:</w:t>
      </w:r>
    </w:p>
    <w:p>
      <w:pPr>
        <w:ind w:left="780"/>
      </w:pPr>
      <w:r>
        <w:t xml:space="preserve">a) Völkermord nach § 6,</w:t>
      </w:r>
    </w:p>
    <w:p>
      <w:pPr>
        <w:ind w:left="780"/>
      </w:pPr>
      <w:r>
        <w:t xml:space="preserve">b) Verbrechen gegen die Menschlichkeit nach § 7,</w:t>
      </w:r>
    </w:p>
    <w:p>
      <w:pPr>
        <w:ind w:left="780"/>
      </w:pPr>
      <w:r>
        <w:t xml:space="preserve">c) Kriegsverbrechen nach den §§ 8 bis 12,</w:t>
      </w:r>
    </w:p>
    <w:p>
      <w:pPr>
        <w:ind w:left="780"/>
      </w:pPr>
      <w:r>
        <w:t xml:space="preserve">d) Verbrechen der Aggression nach § 13,</w:t>
      </w:r>
    </w:p>
    <w:p>
      <w:pPr>
        <w:ind w:left="420"/>
      </w:pPr>
      <w:r>
        <w:t xml:space="preserve">10. aus dem Waffengesetz:</w:t>
      </w:r>
    </w:p>
    <w:p>
      <w:pPr>
        <w:ind w:left="780"/>
      </w:pPr>
      <w:r>
        <w:t xml:space="preserve">a) besonders schwerer Fall einer Straftat nach § 51 Absatz 1 in Verbindung mit Absatz 2,</w:t>
      </w:r>
    </w:p>
    <w:p>
      <w:pPr>
        <w:ind w:left="780"/>
      </w:pPr>
      <w:r>
        <w:t xml:space="preserve">b) besonders schwerer Fall einer Straftat nach § 52 Absatz 1 Nummer 1 in Verbindung mit Absatz 5.</w:t>
      </w:r>
    </w:p>
    <w:p>
      <w:r>
        <w:t xml:space="preserve">(3) Die Maßnahme darf sich nur gegen den Beschuldigten richten. Ein Eingriff in informationstechnische Systeme anderer Personen ist nur zulässig, wenn auf Grund bestimmter Tatsachen anzunehmen ist, dass</w:t>
      </w:r>
    </w:p>
    <w:p>
      <w:pPr>
        <w:ind w:left="420"/>
      </w:pPr>
      <w:r>
        <w:t xml:space="preserve">1. der in der Anordnung nach § 100e Absatz 3 bezeichnete Beschuldigte informationstechnische Systeme der anderen Person benutzt, und</w:t>
      </w:r>
    </w:p>
    <w:p>
      <w:pPr>
        <w:ind w:left="420"/>
      </w:pPr>
      <w:r>
        <w:t xml:space="preserve">2. die Durchführung des Eingriffs in informationstechnische Systeme des Beschuldigten allein nicht zur Erforschung des Sachverhalts oder zur Ermittlung des Aufenthaltsortes eines Mitbeschuldigten führen wird.</w:t>
      </w:r>
    </w:p>
    <w:p>
      <w:r>
        <w:t xml:space="preserve">Die Maßnahme darf auch durchgeführt werden, wenn andere Personen unvermeidbar betroffen werden.</w:t>
      </w:r>
    </w:p>
    <w:p>
      <w:r>
        <w:t xml:space="preserve">(4) § 100a Absatz 5 und 6 gilt mit Ausnahme von Absatz 5 Satz 1 Nummer 1 entsprechend.</w:t>
      </w:r>
    </w:p>
    <w:p>
      <w:r>
        <w:rPr>
          <w:color w:val="555555"/>
          <w:sz w:val="17"/>
        </w:rPr>
        <w:t xml:space="preserve">Zitiervorschlag: § 100b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https://recht.nulegal.eu/gesetze/StPO/100b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