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StNeuzG (Brandenburg) — Stiftungszweck</w:t>
      </w:r>
    </w:p>
    <w:p>
      <w:r>
        <w:rPr>
          <w:color w:val="555555"/>
          <w:sz w:val="18"/>
        </w:rPr>
        <w:t xml:space="preserve">Stift-Neuzelle-Gesetz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Zweck der Stiftung ist es,</w:t>
      </w:r>
    </w:p>
    <w:p>
      <w:r>
        <w:t xml:space="preserve">die denkmalgeschützte Klosteranlage des Stifts Neuzelle wiederherzustellen, zu pflegen, zu erhalten, einer ihrer Bedeutung gerecht werdenden Nutzung zuzuführen und der Öffentlichkeit zugänglich zu machen,</w:t>
      </w:r>
    </w:p>
    <w:p>
      <w:r>
        <w:t xml:space="preserve">die kulturelle Tradition und das historische Erbe des Stifts Neuzelle zu wahren, indem sie insbesondere Einrichtungen und Veranstaltungen, die der Kultur, Wissenschaft und Bildung dienen, unterhält oder fördert.</w:t>
      </w:r>
    </w:p>
    <w:p>
      <w:r>
        <w:t xml:space="preserve">Das Nähere regelt die Stiftungssatzung.</w:t>
      </w:r>
    </w:p>
    <w:p>
      <w:r>
        <w:t xml:space="preserve">(2) Die Stiftung verfolgt dabei ausschließlich und unmittelbar gemeinnützige Zwecke im Sinne des Abschnitts Steuerbegünstigte Zwecke der Abgabenordnung.</w:t>
      </w:r>
    </w:p>
    <w:p>
      <w:r>
        <w:t xml:space="preserve">(3) Die Stiftung kann jeweils durch Satzung für Betriebe gewerblicher Art bestimmen, dass der Betrieb nach Maßgabe des Dritten Abschnitts des Zweiten Teils der Abgabenordnung ausschließlich und unmittelbar gemeinnützige Zwecke verfolgt.</w:t>
      </w:r>
    </w:p>
    <w:p>
      <w:r>
        <w:rPr>
          <w:color w:val="555555"/>
          <w:sz w:val="17"/>
        </w:rPr>
        <w:t xml:space="preserve">Zitiervorschlag: § 2 StNeuzG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https://recht.nulegal.eu/gesetze/StNeuzG/2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