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StNeuzG (Brandenburg) — Rechtsaufsicht</w:t>
      </w:r>
    </w:p>
    <w:p>
      <w:r>
        <w:rPr>
          <w:color w:val="555555"/>
          <w:sz w:val="18"/>
        </w:rPr>
        <w:t xml:space="preserve">Stift-Neuzelle-Gesetz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Rechtsaufsicht über die Stiftung führt die für Kultur zuständige oberste Landesbehörde.</w:t>
      </w:r>
    </w:p>
    <w:p>
      <w:r>
        <w:t xml:space="preserve">Anm.: Die Anlagen wurden nicht aufgenommen.</w:t>
      </w:r>
    </w:p>
    <w:p>
      <w:r>
        <w:t xml:space="preserve">1 Das Gesetz ist am 11. Juli 1996 verkündet worden und am 12. Juli 1996 in Kraft getreten.</w:t>
      </w:r>
    </w:p>
    <w:p>
      <w:r>
        <w:rPr>
          <w:color w:val="555555"/>
          <w:sz w:val="17"/>
        </w:rPr>
        <w:t xml:space="preserve">Zitiervorschlag: § 11 StNeuzG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https://recht.nulegal.eu/gesetze/StNeuzG/11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