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StNeuzG (Brandenburg) — Geschäftsjahr und Wirtschaftsplan</w:t>
      </w:r>
    </w:p>
    <w:p>
      <w:r>
        <w:rPr>
          <w:color w:val="555555"/>
          <w:sz w:val="18"/>
        </w:rPr>
        <w:t xml:space="preserve">Stift-Neuzelle-Gesetz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Geschäftsjahr der Stiftung ist das Kalenderjahr.</w:t>
      </w:r>
    </w:p>
    <w:p>
      <w:r>
        <w:t xml:space="preserve">(2) Die Stiftung stellt einen Wirtschaftsplan auf.</w:t>
      </w:r>
    </w:p>
    <w:p>
      <w:r>
        <w:rPr>
          <w:color w:val="555555"/>
          <w:sz w:val="17"/>
        </w:rPr>
        <w:t xml:space="preserve">Zitiervorschlag: § 10 StNeuzG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https://recht.nulegal.eu/gesetze/StNeuzG/10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