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StKO (Bayern)</w:t>
      </w:r>
    </w:p>
    <w:p>
      <w:r>
        <w:rPr>
          <w:color w:val="555555"/>
          <w:sz w:val="18"/>
        </w:rPr>
        <w:t xml:space="preserve">Studienkollegordnung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121 Abs. 2 des Bayerischen Gesetzes über das Erziehungs- und Unterrichtswesen (BayEUG) in der Fassung der Bekanntmachung vom 31. Mai 2000 (GVBl. S. 414, 632, BayRS 2230-1-1-K), das zuletzt durch § 1 des Gesetzes vom 24. Juli 2019 (GVBl. S. 398) und durch § 4 des Gesetzes vom 24. Juli 2019 (GVBl. S. 408) geändert worden ist, verordnet das Bayerische Staatsministerium für Unterricht und Kultus:</w:t>
      </w:r>
    </w:p>
    <w:p>
      <w:r>
        <w:rPr>
          <w:color w:val="555555"/>
          <w:sz w:val="17"/>
        </w:rPr>
        <w:t xml:space="preserve">Zitiervorschlag: Eingangsformel StKO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https://recht.nulegal.eu/gesetze/StKO/eingangsformel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