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StKO (Bayern) — Studierende</w:t>
      </w:r>
    </w:p>
    <w:p>
      <w:r>
        <w:rPr>
          <w:color w:val="555555"/>
          <w:sz w:val="18"/>
        </w:rPr>
        <w:t xml:space="preserve">Studienkollegordnung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Studierenden haben sich die nötigen Lernmittel auf eigene Kosten zu beschaffen. Das Studienkolleg kann die Verwendung bestimmter Lernmittel im Unterricht anordnen.</w:t>
      </w:r>
    </w:p>
    <w:p>
      <w:r>
        <w:t xml:space="preserve">(2) Das Recht der Universität oder Fachhochschule, an der die Studierenden immatrikuliert sind, eigene Ordnungsmaßnahmen neben Ordnungsmaßnahmen des Studienkollegs zu verhängen, bleibt unberührt.</w:t>
      </w:r>
    </w:p>
    <w:p>
      <w:r>
        <w:rPr>
          <w:color w:val="555555"/>
          <w:sz w:val="17"/>
        </w:rPr>
        <w:t xml:space="preserve">Zitiervorschlag: § 4 StKO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https://recht.nulegal.eu/gesetze/StKO/4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