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StKO (Bayern) — Entsprechende Anwendung von Bestimmungen</w:t>
      </w:r>
    </w:p>
    <w:p>
      <w:r>
        <w:rPr>
          <w:color w:val="555555"/>
          <w:sz w:val="18"/>
        </w:rPr>
        <w:t xml:space="preserve">Studienkollegordnung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§§ 2 bis 6, 7 Abs. 2 Satz 1 und Abs. 5 und 6, §§ 18a, 19 Abs. 2 bis 4, §§ 20, 23 bis 26, 28 Abs. 1, §§ 31 bis 42, 43 Abs. 2 und § 45 der Bayerischen Schulordnung gelten entsprechend. Dabei treten am Studienkolleg an die Stelle</w:t>
      </w:r>
    </w:p>
    <w:p>
      <w:r>
        <w:t xml:space="preserve">der Lehrkräfte die Dozenten,</w:t>
      </w:r>
    </w:p>
    <w:p>
      <w:r>
        <w:t xml:space="preserve">der Schülerinnen und Schüler die Studierenden,</w:t>
      </w:r>
    </w:p>
    <w:p>
      <w:r>
        <w:t xml:space="preserve">der Erziehungsberechtigten die Studierenden,</w:t>
      </w:r>
    </w:p>
    <w:p>
      <w:r>
        <w:t xml:space="preserve">des Schulforums das Kollegforum,</w:t>
      </w:r>
    </w:p>
    <w:p>
      <w:r>
        <w:t xml:space="preserve">der Klassenkonferenz die Kurskonferenz,</w:t>
      </w:r>
    </w:p>
    <w:p>
      <w:r>
        <w:t xml:space="preserve">der Lehrerkonferenz die Dozentenkonferenz. Den Lehr- und Lernmittelausschuss bilden die Fachbetreuer unter Vorsitz der Leiterin oder des Leiters des Studienkollegs.</w:t>
      </w:r>
    </w:p>
    <w:p>
      <w:r>
        <w:rPr>
          <w:color w:val="555555"/>
          <w:sz w:val="17"/>
        </w:rPr>
        <w:t xml:space="preserve">Zitiervorschlag: § 3 StKO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https://recht.nulegal.eu/gesetze/StKO/3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