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StKO (Bayern) — Leistungsnachweise</w:t>
      </w:r>
    </w:p>
    <w:p>
      <w:r>
        <w:rPr>
          <w:color w:val="555555"/>
          <w:sz w:val="18"/>
        </w:rPr>
        <w:t xml:space="preserve">Studienkollegordnung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Zum Nachweis des Leistungsstands werden schriftliche, mündliche und gegebenenfalls praktische Leistungsnachweise gefordert. Die Dozentenkonferenz trifft nähere Festlegungen.</w:t>
      </w:r>
    </w:p>
    <w:p>
      <w:r>
        <w:t xml:space="preserve">(2) Versäumen Studierende einen angekündigten Leistungsnachweis ohne ausreichende Entschuldigung oder wird die Leistung verweigert, wird die Note 6 erteilt. Angekündigte Leistungsnachweise, die mit ausreichender Entschuldigung versäumt werden, sind nachzuholen.</w:t>
      </w:r>
    </w:p>
    <w:p>
      <w:r>
        <w:t xml:space="preserve">(3) § 17 Abs. 3 Satz 1 bis 3 und 5 gilt entsprechend.</w:t>
      </w:r>
    </w:p>
    <w:p>
      <w:r>
        <w:rPr>
          <w:color w:val="555555"/>
          <w:sz w:val="17"/>
        </w:rPr>
        <w:t xml:space="preserve">Zitiervorschlag: § 12 StKO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https://recht.nulegal.eu/gesetze/StKO/12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