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StIdV — Sicherheit und Funktionsfähigkeit des Verfahrens</w:t>
      </w:r>
    </w:p>
    <w:p>
      <w:r>
        <w:rPr>
          <w:color w:val="555555"/>
          <w:sz w:val="18"/>
        </w:rPr>
        <w:t xml:space="preserve">Steueridentifikationsnummerverordnung</w:t>
      </w:r>
    </w:p>
    <w:p>
      <w:r>
        <w:rPr>
          <w:color w:val="555555"/>
          <w:sz w:val="18"/>
        </w:rPr>
        <w:t xml:space="preserve">Stand: 10.06.2019 (konsolidierte Textfassung, kein amtliches Inkrafttretensdatum)</w:t>
      </w:r>
    </w:p>
    <w:p>
      <w:r>
        <w:t xml:space="preserve">Das Bundeszentralamt für Steuern hat die Sicherheit und Funktionsfähigkeit des Verfahrens zu gewährleisten. Anforderungen an die Sicherheit der elektronischen Übermittlung hat das Bundeszentralamt für Steuern im Benehmen mit dem Bundesamt für Sicherheit in der Informationstechnik festzulegen.</w:t>
      </w:r>
    </w:p>
    <w:p>
      <w:r>
        <w:rPr>
          <w:color w:val="555555"/>
          <w:sz w:val="17"/>
        </w:rPr>
        <w:t xml:space="preserve">Zitiervorschlag: § 5 StIdV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