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StIdV — Form und Verfahren der Datenübermittlungen</w:t>
      </w:r>
    </w:p>
    <w:p>
      <w:r>
        <w:rPr>
          <w:color w:val="555555"/>
          <w:sz w:val="18"/>
        </w:rPr>
        <w:t xml:space="preserve">Steueridentifikationsnummerverordnung</w:t>
      </w:r>
    </w:p>
    <w:p>
      <w:r>
        <w:rPr>
          <w:color w:val="555555"/>
          <w:sz w:val="18"/>
        </w:rPr>
        <w:t xml:space="preserve">Stand: 23.12.2022 (konsolidierte Textfassung, kein amtliches Inkrafttretensdatum)</w:t>
      </w:r>
    </w:p>
    <w:p>
      <w:r>
        <w:t xml:space="preserve">(1) Für die Datenübermittlungen der Meldebehörden an das Bundeszentralamt für Steuern nach § 139b Absatz 6 Satz 1, 3, Absatz 7 Satz 1 und Absatz 8 der Abgabenordnung gelten die §§ 2 und 9 der Zweiten Bundesmeldedatenübermittlungsverordnung.</w:t>
      </w:r>
    </w:p>
    <w:p>
      <w:r>
        <w:t xml:space="preserve">(2) Die Datenübermittlungen des Bundeszentralamts für Steuern an die Meldebehörden nach § 139b Absatz 6 Satz 4 und Abs. 7 Satz 2 der Abgabenordnung erfolgen durch Datenübertragung über verwaltungseigene Kommunikationsnetze oder über das Internet. Sie erfolgen unmittelbar oder über Vermittlungsstellen. Die zu übermittelnden Daten sind mit einer fortgeschrittenen elektronischen Signatur zu versehen und nach dem Stand der Technik zu verschlüsseln. Hierbei sind die Satzbeschreibung OSCI-XMeld (§ 3 Absatz 1 der Zweiten Bundesmeldedatenübermittlungsverordnung) und das Übermittlungsprotokoll OSCI-Transport (§ 3 Absatz 2 der Zweiten Bundesmeldedatenübermittlungsverordnung) in der im Bundesanzeiger bekannt gemachten jeweils geltenden Fassung zu Grunde zu legen.</w:t>
      </w:r>
    </w:p>
    <w:p>
      <w:r>
        <w:rPr>
          <w:color w:val="555555"/>
          <w:sz w:val="17"/>
        </w:rPr>
        <w:t xml:space="preserve">Zitiervorschlag: § 2 StIdV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