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StIKoVetV</w:t>
      </w:r>
    </w:p>
    <w:p>
      <w:r>
        <w:rPr>
          <w:color w:val="555555"/>
          <w:sz w:val="18"/>
        </w:rPr>
        <w:t xml:space="preserve">StIKoVet-Verordnung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27 Absatz 6 Satz 8 des Tiergesundheitsgesetzes vom 22. Mai 2013 (BGBl. I S. 1324) in Verbindung mit § 1 Absatz 2 des Zuständigkeitsanpassungsgesetzes vom 16. August 2002 (BGBl. I S. 3165) und dem Organisationserlass vom 17. Dezember 2013 (BGBl. I S. 4310),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StIKoVetV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https://recht.nulegal.eu/gesetze/StIKoVetV/eingangsformel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