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StIKoVetV — Berichterstattung</w:t>
      </w:r>
    </w:p>
    <w:p>
      <w:r>
        <w:rPr>
          <w:color w:val="555555"/>
          <w:sz w:val="18"/>
        </w:rPr>
        <w:t xml:space="preserve">StIKoVet-Verordnung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Vorbereitung von Beschlüssen der Kommission können Berichterstatter aus dem Kreis der Mitglieder benannt werden. Sie berichten der Kommission.</w:t>
      </w:r>
    </w:p>
    <w:p>
      <w:r>
        <w:t xml:space="preserve">(2) Die Berichterstatter können der Kommission Vorschläge für die Anhörung oder Hinzuziehung von Sachverständigen oder der Beiziehung oder Einholung von Gutachten nach § 6 Absatz 1 Satz 1 machen.</w:t>
      </w:r>
    </w:p>
    <w:p>
      <w:r>
        <w:rPr>
          <w:color w:val="555555"/>
          <w:sz w:val="17"/>
        </w:rPr>
        <w:t xml:space="preserve">Zitiervorschlag: § 5 StIKoVetV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https://recht.nulegal.eu/gesetze/StIKoVetV/5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