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StIKoVetV — Inkrafttreten</w:t>
      </w:r>
    </w:p>
    <w:p>
      <w:r>
        <w:rPr>
          <w:color w:val="555555"/>
          <w:sz w:val="18"/>
        </w:rPr>
        <w:t xml:space="preserve">StIKoVet-Verordnung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16 StIKoVetV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https://recht.nulegal.eu/gesetze/StIKoVetV/16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