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StIKoVetV — Durchführung von Sitzungen</w:t>
      </w:r>
    </w:p>
    <w:p>
      <w:r>
        <w:rPr>
          <w:color w:val="555555"/>
          <w:sz w:val="18"/>
        </w:rPr>
        <w:t xml:space="preserve">StIKoVet-Verordnung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Sitzungen sind nicht öffentlich. Soweit ein stellvertretendes Mitglied kein Mitglied vertritt, kann es an den Sitzungen teilnehmen.</w:t>
      </w:r>
    </w:p>
    <w:p>
      <w:r>
        <w:t xml:space="preserve">(2) Der Vorsitz eröffnet, leitet und schließt die Sitzungen; er ist für die Ordnung verantwortlich.</w:t>
      </w:r>
    </w:p>
    <w:p>
      <w:r>
        <w:t xml:space="preserve">(3) Auf Beschluss von mindestens fünf stimmberechtigten Mitgliedern kann die Tagesordnung ergänzt werden.</w:t>
      </w:r>
    </w:p>
    <w:p>
      <w:r>
        <w:t xml:space="preserve">(4) Stimmberechtigt sind die Mitglieder, im Falle ihrer Verhinderung die stellvertretenden Mitglieder.</w:t>
      </w:r>
    </w:p>
    <w:p>
      <w:r>
        <w:t xml:space="preserve">(5) Beratungen können auch im schriftlichen Verfahren durchgeführt werden, wenn kein stimmberechtigtes Mitglied widerspricht und die Vertraulichkeit gewahrt ist.</w:t>
      </w:r>
    </w:p>
    <w:p>
      <w:r>
        <w:rPr>
          <w:color w:val="555555"/>
          <w:sz w:val="17"/>
        </w:rPr>
        <w:t xml:space="preserve">Zitiervorschlag: § 11 StIKoVetV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https://recht.nulegal.eu/gesetze/StIKoVetV/11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