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StGrenzVtrLUXG</w:t>
      </w:r>
    </w:p>
    <w:p>
      <w:r>
        <w:rPr>
          <w:color w:val="555555"/>
          <w:sz w:val="18"/>
        </w:rPr>
        <w:t xml:space="preserve">Gesetz zu dem Vertrag vom 19. Dezember 1984 zwischen der Bundesrepublik Deutschland und dem Großherzogtum Luxemburg über den Verlauf der gemeinsamen Staatsgrenze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Regierungen des Landes Rheinland-Pfalz und des Saarlandes werden ermächtigt, zum Zwecke der Ausführung des Vertrags durch Rechtsverordnungen Vorschriften zu treffen</w:t>
      </w:r>
    </w:p>
    <w:p>
      <w:pPr>
        <w:ind w:left="420"/>
      </w:pPr>
      <w:r>
        <w:t xml:space="preserve">1. darüber, in welcher Weise Rechte, deren Inhalt sich nach luxemburgischem Recht bestimmt, in das Grundbuch eingetragen und in der Zwangsvollstreckung behandelt werden;</w:t>
      </w:r>
    </w:p>
    <w:p>
      <w:pPr>
        <w:ind w:left="420"/>
      </w:pPr>
      <w:r>
        <w:t xml:space="preserve">2. über die Ausscheidung von Grundstücken, die in dem im Vertrag bezeichneten gemeinschaftlichen Hoheitsgebiet liegen, aus dem Grundbuch;</w:t>
      </w:r>
    </w:p>
    <w:p>
      <w:pPr>
        <w:ind w:left="420"/>
      </w:pPr>
      <w:r>
        <w:t xml:space="preserve">3. über die Grundbuchbezirke für die im gemeinschaftlichen Hoheitsgebiet liegenden Grundstücke.</w:t>
      </w:r>
    </w:p>
    <w:p>
      <w:r>
        <w:t xml:space="preserve">(2) Die Regierungen des Landes Rheinland-Pfalz und des Saarlandes können die Ermächtigung auf die Landesjustizverwaltung übertragen.</w:t>
      </w:r>
    </w:p>
    <w:p>
      <w:r>
        <w:rPr>
          <w:color w:val="555555"/>
          <w:sz w:val="17"/>
        </w:rPr>
        <w:t xml:space="preserve">Zitiervorschlag: Art 3 StGrenzVtrLUXG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https://recht.nulegal.eu/gesetze/StGrenzVtrLUXG/3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