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StGrenzVtrLUXG</w:t>
      </w:r>
    </w:p>
    <w:p>
      <w:r>
        <w:rPr>
          <w:color w:val="555555"/>
          <w:sz w:val="18"/>
        </w:rPr>
        <w:t xml:space="preserve">Gesetz zu dem Vertrag vom 19. Dezember 1984 zwischen der Bundesrepublik Deutschland und dem Großherzogtum Luxemburg über den Verlauf der gemeinsamen Staatsgrenze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Gebietsteilen, die nach Artikel 2 des Vertrags Hoheitsgebiet der Bundesrepublik Deutschland sind, gelten mit dem Zeitpunkt des Inkrafttretens dieser Bestimmungen gemäß Artikel 13 Abs. 2 des Vertrags die in den Ländern Rheinland-Pfalz beziehungsweise Saarland geltenden Vorschriften des Bundesrechts, soweit sie nicht bereits zuvor in Kraft waren.</w:t>
      </w:r>
    </w:p>
    <w:p>
      <w:r>
        <w:rPr>
          <w:color w:val="555555"/>
          <w:sz w:val="17"/>
        </w:rPr>
        <w:t xml:space="preserve">Zitiervorschlag: Art 2 StGrenzVtrLUXG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https://recht.nulegal.eu/gesetze/StGrenzVtrLUXG/2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