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StGebO 2011</w:t>
      </w:r>
    </w:p>
    <w:p>
      <w:r>
        <w:rPr>
          <w:color w:val="555555"/>
          <w:sz w:val="18"/>
        </w:rPr>
        <w:t xml:space="preserve">Gebührenordnung für Maßnahmen im Straßenverkehr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6a Absatz 2 in Verbindung mit Absatz 3 und 4 des Straßenverkehrsgesetzes in der Fassung der Bekanntmachung vom 5. März 2003 (BGBl. I S. 310, 919), des § 18 Absatz 2 in Verbindung mit Absatz 3 des Kraftfahrsachverständigengesetzes vom 22. Dezember 1971 (BGBl. I S. 2086) und des § 34a Absatz 2 in Verbindung mit Absatz 3 des Fahrlehrergesetzes vom 25. August 1969 (BGBl. I S. 1336), von § 6a Absatz 2 durch Artikel 2 Nummer 1 des Gesetzes vom 14. August 2006 (BGBl. I S. 1958), § 18 Absatz 2 zuletzt durch Artikel 291 der Verordnung vom 31. Oktober 2006 (BGBl. I S. 2407), § 18 Absatz 3 durch Artikel 6 Nummer 12 Buchstabe b des Gesetzes vom 24. April 1998 (BGBl. I S. 747), § 34a Absatz 2 zuletzt durch Artikel 289 der Verordnung vom 31. Oktober 2006 (BGBl. I S. 2407) und § 34a Absatz 3 zuletzt durch Artikel 2 des Gesetzes vom 24. April 1998 (BGBl. I S. 747) geändert worden sind, jeweils in Verbindung mit dem 2. Abschnitt des Verwaltungskostengesetzes vom 23. Juni 1970 (BGBl. I S. 821), verordnet das Bundesministerium für Verkehr, Bau und Stadtentwicklung:</w:t>
      </w:r>
    </w:p>
    <w:p>
      <w:r>
        <w:rPr>
          <w:color w:val="555555"/>
          <w:sz w:val="17"/>
        </w:rPr>
        <w:t xml:space="preserve">Zitiervorschlag: Eingangsformel StGebO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https://recht.nulegal.eu/gesetze/StGebO%202011/eingangsformel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