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StGebO 2011 — Inkrafttreten, Außerkrafttreten</w:t>
      </w:r>
    </w:p>
    <w:p>
      <w:r>
        <w:rPr>
          <w:color w:val="555555"/>
          <w:sz w:val="18"/>
        </w:rPr>
        <w:t xml:space="preserve">Gebührenordnung für Maßnahmen im Straßenverkehr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Kraft; gleichzeitig tritt die Gebührenordnung für Maßnahmen im Straßenverkehr vom 26. Juni 1970 (BGBl. I S. 865, 1298), die zuletzt durch Artikel 4 der Verordnung vom 21. April 2009 (BGBl. I S. 872) geändert worden ist, außer Kraft.</w:t>
      </w:r>
    </w:p>
    <w:p>
      <w:r>
        <w:rPr>
          <w:color w:val="555555"/>
          <w:sz w:val="17"/>
        </w:rPr>
        <w:t xml:space="preserve">Zitiervorschlag: § 7 StGebO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https://recht.nulegal.eu/gesetze/StGebO%202011/7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