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StGebO 2011 — Übergangs- und Anwendungsbestimmungen</w:t>
      </w:r>
    </w:p>
    <w:p>
      <w:r>
        <w:rPr>
          <w:color w:val="555555"/>
          <w:sz w:val="18"/>
        </w:rPr>
        <w:t xml:space="preserve">Gebührenordnung für Maßnahmen im Straßenverkehr</w:t>
      </w:r>
    </w:p>
    <w:p>
      <w:r>
        <w:rPr>
          <w:color w:val="555555"/>
          <w:sz w:val="18"/>
        </w:rPr>
        <w:t xml:space="preserve">Stand: 07.07.2020 (konsolidierte Textfassung, kein amtliches Inkrafttretensdatum)</w:t>
      </w:r>
    </w:p>
    <w:p>
      <w:r>
        <w:t xml:space="preserve">(1) Die Vorschriften des Verwaltungskostengesetzes in der bis zum 14. August 2013 geltenden Fassung sind anzuwenden, soweit nicht die §§ 1 bis 5 abweichende Regelungen über die Kostenerhebung, die Kostenbefreiung, den Umfang der zu erstattenden Auslagen, der Kostengläubiger- und Kostenschuldnerschaft enthalten.</w:t>
      </w:r>
    </w:p>
    <w:p>
      <w:r>
        <w:t xml:space="preserve">(2) Die Gebühren-Nummer 259 der Anlage ist mit Ablauf des 31. Dezember 2026 nicht mehr anzuwenden.</w:t>
      </w:r>
    </w:p>
    <w:p>
      <w:r>
        <w:t xml:space="preserve">(3) Die Gebühren-Nummer 265 der Anlage ist nicht anzuwenden, soweit</w:t>
      </w:r>
    </w:p>
    <w:p>
      <w:pPr>
        <w:ind w:left="420"/>
      </w:pPr>
      <w:r>
        <w:t xml:space="preserve">1. die Landesregierung eine Gebührenordnung nach § 6a Absatz 5a Satz 1 bis 4 des Straßenverkehrsgesetzes erlässt oder</w:t>
      </w:r>
    </w:p>
    <w:p>
      <w:pPr>
        <w:ind w:left="420"/>
      </w:pPr>
      <w:r>
        <w:t xml:space="preserve">2. diese Ermächtigung an einen anderen Rechtsträger nach § 6a Absatz 5a Satz 5 des Straßenverkehrsgesetzes weiter übertragen wird und soweit dieser auf dieser Grundlage eine Gebührenordnung erlässt.</w:t>
      </w:r>
    </w:p>
    <w:p>
      <w:r>
        <w:rPr>
          <w:color w:val="555555"/>
          <w:sz w:val="17"/>
        </w:rPr>
        <w:t xml:space="preserve">Zitiervorschlag: § 6 StGebO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https://recht.nulegal.eu/gesetze/StGebO%202011/6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