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StGebO 2011 — Persönliche Gebührenfreiheit</w:t>
      </w:r>
    </w:p>
    <w:p>
      <w:r>
        <w:rPr>
          <w:color w:val="555555"/>
          <w:sz w:val="18"/>
        </w:rPr>
        <w:t xml:space="preserve">Gebührenordnung für Maßnahmen im Straßenverkehr</w:t>
      </w:r>
    </w:p>
    <w:p>
      <w:r>
        <w:rPr>
          <w:color w:val="555555"/>
          <w:sz w:val="18"/>
        </w:rPr>
        <w:t xml:space="preserve">Stand: 30.07.2021 (konsolidierte Textfassung, kein amtliches Inkrafttretensdatum)</w:t>
      </w:r>
    </w:p>
    <w:p>
      <w:r>
        <w:t xml:space="preserve">(1) Von der Zahlung der Gebühren nach dem 1. und 2. Abschnitt des Gebührentarifs sind befreit:</w:t>
      </w:r>
    </w:p>
    <w:p>
      <w:pPr>
        <w:ind w:left="420"/>
      </w:pPr>
      <w:r>
        <w:t xml:space="preserve">1. Die Bundesrepublik Deutschland und die bundesunmittelbaren juristischen Personen des öffentlichen Rechts, deren Ausgaben ganz oder teilweise auf Grund gesetzlicher Verpflichtung aus dem Haushalt des Bundes getragen werden;</w:t>
      </w:r>
    </w:p>
    <w:p>
      <w:pPr>
        <w:ind w:left="420"/>
      </w:pPr>
      <w:r>
        <w:t xml:space="preserve">2. die Länder und die juristischen Personen des öffentlichen Rechts, die nach den Haushaltsplänen eines Landes für Rechnung eines Landes verwaltet werden;</w:t>
      </w:r>
    </w:p>
    <w:p>
      <w:pPr>
        <w:ind w:left="420"/>
      </w:pPr>
      <w:r>
        <w:t xml:space="preserve">3. die Gemeinden und Gemeindeverbände sowie Zweckverbände und die sonstigen kommunalen Körperschaften des öffentlichen Rechts, sofern die Amtshandlungen, Prüfungen und Untersuchungen nicht ihre wirtschaftlichen Unternehmen betreffen;</w:t>
      </w:r>
    </w:p>
    <w:p>
      <w:pPr>
        <w:ind w:left="420"/>
      </w:pPr>
      <w:r>
        <w:t xml:space="preserve">4. die ausländischen ständigen diplomatischen Missionen;</w:t>
      </w:r>
    </w:p>
    <w:p>
      <w:pPr>
        <w:ind w:left="420"/>
      </w:pPr>
      <w:r>
        <w:t xml:space="preserve">5. die Mitglieder der ausländischen ständigen diplomatischen Missionen sowie die mit ihnen im gemeinsamen Haushalt lebenden Familienmitglieder, wenn der Fahrzeughalter weder Deutscher noch im Geltungsbereich dieser Verordnung ständig ansässig ist und dort keine private Erwerbstätigkeit ausübt. Bei Mitgliedern des dienstlichen Hauspersonals sowie den mit ihnen im gemeinsamen Haushalt lebenden Familienmitgliedern ist außerdem erforderlich, dass der Fahrzeughalter Angehöriger des Entsendestaats ist;</w:t>
      </w:r>
    </w:p>
    <w:p>
      <w:pPr>
        <w:ind w:left="420"/>
      </w:pPr>
      <w:r>
        <w:t xml:space="preserve">6. die zugelassenen berufskonsularischen Vertretungen;</w:t>
      </w:r>
    </w:p>
    <w:p>
      <w:pPr>
        <w:ind w:left="420"/>
      </w:pPr>
      <w:r>
        <w:t xml:space="preserve">7. die Mitglieder der berufskonsularischen Vertretungen sowie die mit ihnen im gemeinsamen Haushalt lebenden Familienmitglieder, wenn der Fahrzeughalter weder Deutscher noch im Geltungsbereich dieser Verordnung ständig ansässig ist und dort keine private Erwerbstätigkeit ausübt. Nummer 5 Satz 2 gilt entsprechend;</w:t>
      </w:r>
    </w:p>
    <w:p>
      <w:pPr>
        <w:ind w:left="420"/>
      </w:pPr>
      <w:r>
        <w:t xml:space="preserve">8. die Berufskonsularbeamten oder Bediensteten des Verwaltungs- oder technischen Personals bei den von Wahlkonsularbeamten geleiteten konsularischen Vertretungen, sofern sie Angehörige des Entsendestaats sind, sowie die mit solchen Personen im gemeinsamen Haushalt lebenden Familienmitglieder, wenn der Fahrzeughalter weder Deutscher noch im Geltungsbereich dieser Verordnung ständig ansässig ist und dort keine private Erwerbstätigkeit ausübt;</w:t>
      </w:r>
    </w:p>
    <w:p>
      <w:pPr>
        <w:ind w:left="420"/>
      </w:pPr>
      <w:r>
        <w:t xml:space="preserve">9. die amtlichen zwischenstaatlichen Organisationen und Einrichtungen anderer Staaten oder deren Mitglieder, soweit ihnen auf Grund völkerrechtlicher Übereinkünfte mit der Bundesrepublik Deutschland oder auf Grund von Rechtsverordnungen der Bundesregierung Vorrechte und Befreiungen wie diplomatischen Missionen oder diplomatischen Vertretern gewährt werden;</w:t>
      </w:r>
    </w:p>
    <w:p>
      <w:pPr>
        <w:ind w:left="420"/>
      </w:pPr>
      <w:r>
        <w:t xml:space="preserve">10. die Ehegatten der in Nummer 9 genannten Personen.</w:t>
      </w:r>
    </w:p>
    <w:p>
      <w:r>
        <w:t xml:space="preserve">(2) Von der Zahlung der Gebühren nach den Nummern 413 und 414 des Gebührentarifs sind, soweit es sich um eine Vollprüfung im Rahmen des § 21 StVZO handelt, die in Absatz 1 Nummer 4 bis 10 aufgeführten Missionen, Vertretungen, Organisationen und Personen befreit.</w:t>
      </w:r>
    </w:p>
    <w:p>
      <w:r>
        <w:t xml:space="preserve">(3) Die Befreiung tritt nicht ein, soweit die in Absatz 1 Genannten berechtigt sind, die Gebühren Dritten aufzuerlegen.</w:t>
      </w:r>
    </w:p>
    <w:p>
      <w:r>
        <w:t xml:space="preserve">(4) Gebührenfreiheit nach Absatz 1 besteht nicht für Sondervermögen und Bundesbetriebe im Sinne des Artikels 110 Absatz 1 des Grundgesetzes, für gleichartige Einrichtungen der Länder sowie für öffentlich-rechtliche Unternehmen, an denen der Bund oder ein Land beteiligt ist.</w:t>
      </w:r>
    </w:p>
    <w:p>
      <w:r>
        <w:t xml:space="preserve">(5) Zur Zahlung von Gebühren bleiben die in Absatz 1 genannten Rechtsträger für Amtshandlungen folgender Behörden verpflichtet:</w:t>
      </w:r>
    </w:p>
    <w:p>
      <w:pPr>
        <w:ind w:left="420"/>
      </w:pPr>
      <w:r>
        <w:t xml:space="preserve">1. Physikalisch-Technische Bundesanstalt,</w:t>
      </w:r>
    </w:p>
    <w:p>
      <w:pPr>
        <w:ind w:left="420"/>
      </w:pPr>
      <w:r>
        <w:t xml:space="preserve">2. Bundesanstalt für Materialprüfung.</w:t>
      </w:r>
    </w:p>
    <w:p>
      <w:r>
        <w:t xml:space="preserve">(6) Die für die Erhebung der Gebühren zuständige Stelle kann Körperbehinderten aus Billigkeitsgründen Gebührenermäßigung oder Gebührenbefreiung für Amtshandlungen, Prüfungen oder Untersuchungen gewähren, die wegen der Behinderung erforderlich werden.</w:t>
      </w:r>
    </w:p>
    <w:p>
      <w:r>
        <w:t xml:space="preserve">(7) Von der Zahlung der Gebühren nach der Nummer 141 des Gebührentarifs sind Stellen außerhalb des Geltungsbereichs des Straßenverkehrsgesetzes befreit, soweit sie eine Auskunft auf der Grundlage von § 37 bis § 37c des Straßenverkehrsgesetzes erhalten.</w:t>
      </w:r>
    </w:p>
    <w:p>
      <w:r>
        <w:rPr>
          <w:color w:val="555555"/>
          <w:sz w:val="17"/>
        </w:rPr>
        <w:t xml:space="preserve">Zitiervorschlag: § 5 StGebO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https://recht.nulegal.eu/gesetze/StGebO%202011/5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