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StGebO 2011 — Kostengläubiger</w:t>
      </w:r>
    </w:p>
    <w:p>
      <w:r>
        <w:rPr>
          <w:color w:val="555555"/>
          <w:sz w:val="18"/>
        </w:rPr>
        <w:t xml:space="preserve">Gebührenordnung für Maßnahmen im Straßenverkehr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Kostengläubiger ist der Rechtsträger, dessen Stelle eine kostenpflichtige Amtshandlung, Prüfung oder Untersuchung vornimmt.</w:t>
      </w:r>
    </w:p>
    <w:p>
      <w:r>
        <w:t xml:space="preserve">(2) Bei den Gebühren der amtlich anerkannten Sachverständigen und Prüfer für den Kraftfahrzeugverkehr ist der Träger der Technischen Prüfstelle für den Kraftfahrzeugverkehr Kostengläubiger.</w:t>
      </w:r>
    </w:p>
    <w:p>
      <w:r>
        <w:rPr>
          <w:color w:val="555555"/>
          <w:sz w:val="17"/>
        </w:rPr>
        <w:t xml:space="preserve">Zitiervorschlag: § 3 StGebO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https://recht.nulegal.eu/gesetze/StGebO%202011/3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