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StGebO 2011 — Auslagen</w:t>
      </w:r>
    </w:p>
    <w:p>
      <w:r>
        <w:rPr>
          <w:color w:val="555555"/>
          <w:sz w:val="18"/>
        </w:rPr>
        <w:t xml:space="preserve">Gebührenordnung für Maßnahmen im Straßenverkehr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Soweit im Gebührentarif nichts anderes bestimmt ist, hat der Gebührenschuldner folgende Auslagen zu tragen:</w:t>
      </w:r>
    </w:p>
    <w:p>
      <w:pPr>
        <w:ind w:left="420"/>
      </w:pPr>
      <w:r>
        <w:t xml:space="preserve">1. Portokosten; Entgelte für Zustellungen durch die Post mit Postzustellungsurkunde und für Nachnahmen sowie im Einschreibeverfahren; Entgelte für Eil- und Expresszustellungen, soweit sie auf besonderen Antrag des Gebührenschuldners erfolgen,</w:t>
      </w:r>
    </w:p>
    <w:p>
      <w:pPr>
        <w:ind w:left="420"/>
      </w:pPr>
      <w:r>
        <w:t xml:space="preserve">2. Aufwendungen für weitere Ausfertigungen, Abschriften und Auszüge, die auf besonderen Antrag erteilt werden; für die Berechnung der Schreibauslagen gilt Nummer 31000 des Kostenverzeichnisses zum Gerichts- und Notarkostengesetz,</w:t>
      </w:r>
    </w:p>
    <w:p>
      <w:pPr>
        <w:ind w:left="420"/>
      </w:pPr>
      <w:r>
        <w:t xml:space="preserve">3. Aufwendungen für Übersetzungen, die auf besonderen Antrag gefertigt werden,</w:t>
      </w:r>
    </w:p>
    <w:p>
      <w:pPr>
        <w:ind w:left="420"/>
      </w:pPr>
      <w:r>
        <w:t xml:space="preserve">4. Kosten, die durch öffentliche Bekanntmachung entstehen, mit Ausnahme der hierbei erwachsenden Entgelte für Postdienstleistungen,</w:t>
      </w:r>
    </w:p>
    <w:p>
      <w:pPr>
        <w:ind w:left="420"/>
      </w:pPr>
      <w:r>
        <w:t xml:space="preserve">5. die in entsprechender Anwendung des Justizvergütungs- und -entschädigungsgesetzes zu zahlenden Beträge; erhält ein Sachverständiger auf Grund des § 1 Absatz 2 Satz 2 jenes Gesetzes keine Vergütung, ist der Betrag zu entrichten, der ohne diese Vorschrift nach dem Gesetz zu zahlen wäre,</w:t>
      </w:r>
    </w:p>
    <w:p>
      <w:pPr>
        <w:ind w:left="420"/>
      </w:pPr>
      <w:r>
        <w:t xml:space="preserve">6. die bei Geschäften außerhalb der Dienststelle den Bediensteten auf Grund gesetzlicher oder tarifvertraglicher Vorschriften gewährten Vergütungen (Reisekostenvergütung, Auslagenersatz) und die Kosten für die Bereitstellung von Räumen; für Personen, die weder Bundes- noch Landesbedienstete sind, gelten die Vorschriften über die Vergütung der Reisekosten der Bundesbeamten entsprechend,</w:t>
      </w:r>
    </w:p>
    <w:p>
      <w:pPr>
        <w:ind w:left="420"/>
      </w:pPr>
      <w:r>
        <w:t xml:space="preserve">6a. die Aufwendungen für den Einsatz von Dienstwagen bei Dienstgeschäften außerhalb der Dienststelle,</w:t>
      </w:r>
    </w:p>
    <w:p>
      <w:pPr>
        <w:ind w:left="420"/>
      </w:pPr>
      <w:r>
        <w:t xml:space="preserve">7. die Beträge, die anderen in- und ausländischen Behörden, öffentlichen Einrichtungen oder Beamten zustehen; und zwar auch dann, wenn aus Gründen der Gegenseitigkeit, der Verwaltungsvereinfachung und dergleichen an die Behörden, Einrichtungen oder Beamten keine Zahlungen zu leisten sind,</w:t>
      </w:r>
    </w:p>
    <w:p>
      <w:pPr>
        <w:ind w:left="420"/>
      </w:pPr>
      <w:r>
        <w:t xml:space="preserve">8. die Kosten für die Beförderung von Sachen, mit Ausnahme der hierbei erwachsenden Entgelte für Postdienstleistungen, und die Verwahrung von Sachen,</w:t>
      </w:r>
    </w:p>
    <w:p>
      <w:pPr>
        <w:ind w:left="420"/>
      </w:pPr>
      <w:r>
        <w:t xml:space="preserve">9. die auf die Kosten der amtlich anerkannten Sachverständigen und Prüfer für den Kraftfahrzeugverkehr und der amtlich anerkannten Begutachtungsstellen für Fahreignung entfallende Mehrwertsteuer,</w:t>
      </w:r>
    </w:p>
    <w:p>
      <w:pPr>
        <w:ind w:left="420"/>
      </w:pPr>
      <w:r>
        <w:t xml:space="preserve">10. die Kosten der amtlich anerkannten Sachverständigen und Prüfer sowie der Prüfstellen für Nachprüfungen im Auftrage des Kraftfahrt-Bundesamtes nach § 20 Absatz 6 der Straßenverkehrs-Zulassungs-Ordnung und § 9 der Fahrzeugteileverordnung sowie für Nachprüfungen nach international vereinbartem Recht, soweit ein Verstoß gegen diese Vorschriften nachgewiesen wird,</w:t>
      </w:r>
    </w:p>
    <w:p>
      <w:pPr>
        <w:ind w:left="420"/>
      </w:pPr>
      <w:r>
        <w:t xml:space="preserve">11. die Aufwendungen für die Übersendung oder Überbringung der Mitteilung der Zulassungsbehörde an den Versicherer auf Grund der Versicherungsbestätigung nach § 50 Absatz 1 der Fahrzeug-Zulassungsverordnung oder der Anzeige nach § 51 Absatz 2 der Fahrzeug-Zulassungsverordnung,</w:t>
      </w:r>
    </w:p>
    <w:p>
      <w:pPr>
        <w:ind w:left="420"/>
      </w:pPr>
      <w:r>
        <w:t xml:space="preserve">12. die Kosten eines amtlich anerkannten Sachverständigen für den Kraftfahrzeugverkehr, eines technischen Dienstes mit Gesamtfahrzeugbefugnissen der jeweiligen Fahrzeugklassen oder einer anderen vom Kraftfahrt-Bundesamt beauftragten Stelle für die Begutachtung eines Kraftfahrzeugs mit automatisierter oder autonomer Fahrfunktion einschließlich der Bewertung der informationstechnischen Sicherheit von Fahrzeugen und Fahrzeugteilen,</w:t>
      </w:r>
    </w:p>
    <w:p>
      <w:pPr>
        <w:ind w:left="420"/>
      </w:pPr>
      <w:r>
        <w:t xml:space="preserve">13. die Kosten eines von der zuständigen Behörde beauftragten Gutachtens gemäß § 9 Absatz 3 Satz 1 der Autonome-Fahrzeuge-Genehmigungs-und-Betriebs-Verordnung.</w:t>
      </w:r>
    </w:p>
    <w:p>
      <w:r>
        <w:t xml:space="preserve">(2) Die Erstattung der in Absatz 1 aufgeführten Auslagen kann auch verlangt werden, wenn für die Amtshandlung, Prüfung oder Untersuchung Gebührenfreiheit besteht, bei Auslagen nach Absatz 1 Nummer 1 bis 9 jedoch nur, soweit ihr Gesamtbetrag 3 Euro übersteigt. Auslagen für die Versendung von Akten im Wege der Amtshilfe werden nicht erhoben.</w:t>
      </w:r>
    </w:p>
    <w:p>
      <w:r>
        <w:rPr>
          <w:color w:val="555555"/>
          <w:sz w:val="17"/>
        </w:rPr>
        <w:t xml:space="preserve">Zitiervorschlag: § 2 StGebO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https://recht.nulegal.eu/gesetze/StGebO%202011/2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