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StGebO 2011 — Gebührentarif</w:t>
      </w:r>
    </w:p>
    <w:p>
      <w:r>
        <w:rPr>
          <w:color w:val="555555"/>
          <w:sz w:val="18"/>
        </w:rPr>
        <w:t xml:space="preserve">Gebührenordnung für Maßnahmen im Straßenverkehr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Für Amtshandlungen, einschließlich der Prüfungen und Untersuchungen im Sinne des § 6a des Straßenverkehrsgesetzes, des § 55 des Fahrlehrergesetzes und des § 18 des Kraftfahrsachverständigengesetzes, werden Gebühren nach dieser Verordnung erhoben. Die gebührenpflichtigen Tatbestände und die Gebührensätze ergeben sich aus dem Gebührentarif für Maßnahmen im Straßenverkehr (Anlage).</w:t>
      </w:r>
    </w:p>
    <w:p>
      <w:r>
        <w:t xml:space="preserve">(2) Bei der Erhebung der Gebühren dürfen mehrere miteinander verbundene, im Gebührentarif genannte Amtshandlungen, Prüfungen oder Untersuchungen in einer Gesamtbezeichnung, die zugehörigen Beträge in einem Gesamtbetrag zusammengefasst werden.</w:t>
      </w:r>
    </w:p>
    <w:p>
      <w:r>
        <w:t xml:space="preserve">(3) Unterliegt die Amtshandlung der Umsatzsteuer, kann diese der Gebühr hinzugerechnet werden.</w:t>
      </w:r>
    </w:p>
    <w:p>
      <w:r>
        <w:rPr>
          <w:color w:val="555555"/>
          <w:sz w:val="17"/>
        </w:rPr>
        <w:t xml:space="preserve">Zitiervorschlag: § 1 StGebO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https://recht.nulegal.eu/gesetze/StGebO%202011/1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