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6 StGBEG — Mindest- und Höchstmaß von Ordnungs- und Zwangsmitteln</w:t>
      </w:r>
    </w:p>
    <w:p>
      <w:r>
        <w:rPr>
          <w:color w:val="555555"/>
          <w:sz w:val="18"/>
        </w:rPr>
        <w:t xml:space="preserve">Einführungsgesetz zum 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Droht das Bundesgesetz Ordnungsgeld oder Zwangsgeld an, ohne dessen Mindest- oder Höchstmaß zu bestimmen, so beträgt das Mindestmaß fünf, das Höchstmaß tausend Euro. Droht das Landesgesetz Ordnungsgeld an, so gilt Satz 1 entsprechend.</w:t>
      </w:r>
    </w:p>
    <w:p>
      <w:r>
        <w:t xml:space="preserve">(2) Droht das Gesetz Ordnungshaft an, ohne das Mindest- oder Höchstmaß zu bestimmen, so beträgt das Mindestmaß einen Tag, das Höchstmaß sechs Wochen. Die Ordnungshaft wird in diesem Fall nach Tagen bemessen.</w:t>
      </w:r>
    </w:p>
    <w:p>
      <w:r>
        <w:rPr>
          <w:color w:val="555555"/>
          <w:sz w:val="17"/>
        </w:rPr>
        <w:t xml:space="preserve">Zitiervorschlag: Art 6 StGBEG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https://recht.nulegal.eu/gesetze/StGBEG/6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6 StGBEG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