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StGBEG — Bezeichnung der Rechtsnachteile</w:t>
      </w:r>
    </w:p>
    <w:p>
      <w:r>
        <w:rPr>
          <w:color w:val="555555"/>
          <w:sz w:val="18"/>
        </w:rPr>
        <w:t xml:space="preserve">Einführungsgesetz zum 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In Vorschriften des Bundes- und des Landesrechts dürfen Rechtsnachteile, die nicht bei Straftaten angedroht werden, nicht als Freiheitsstrafe, Haftstrafe, Ordnungsstrafe oder Geldstrafe bezeichnet werden.</w:t>
      </w:r>
    </w:p>
    <w:p>
      <w:r>
        <w:rPr>
          <w:color w:val="555555"/>
          <w:sz w:val="17"/>
        </w:rPr>
        <w:t xml:space="preserve">Zitiervorschlag: Art 5 StGBEG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https://recht.nulegal.eu/gesetze/StGBEG/5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