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317 StGBEG — Überleitung des Verfahrens wegen Ordnungswidrigkeiten nach neuem Recht</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Die bei Inkrafttreten des neuen Rechts schwebenden Verfahren wegen einer Zuwiderhandlung, die nach neuem Recht nur noch mit Geldbuße bedroht ist, werden in der Lage, in der sie sich befinden, nach den Vorschriften des Gesetzes über Ordnungswidrigkeiten fortgesetzt, soweit nichts anderes bestimmt ist. Hat das Gericht wegen einer solchen Zuwiderhandlung bereits das Hauptverfahren eröffnet oder einen Strafbefehl oder eine Strafverfügung erlassen, so bleibt die Staatsanwaltschaft für die Verfolgung auch im Bußgeldverfahren zuständig. § 72 des Gesetzes über Ordnungswidrigkeiten ist in diesem Fall nicht anzuwenden.</w:t>
      </w:r>
    </w:p>
    <w:p>
      <w:r>
        <w:t xml:space="preserve">(2) Die §§ 79, 80 des Gesetzes über Ordnungswidrigkeiten gelten nicht, wenn das Urteil vor Inkrafttreten des neuen Rechts wegen einer Zuwiderhandlung ergangen ist, die nach neuem Recht nur noch mit Geldbuße bedroht ist; in diesen Fällen gelten die §§ 313 und 334 der Strafprozeßordnung in der bisherigen Fassung fort. Ist das Revisionsgericht der Auffassung, daß ein solches Urteil allein wegen des neuen Rechts dem Gesetz nicht entspricht, so berichtigt es den Schuldspruch und wandelt eine Verurteilung zu einer Geldstrafe in eine solche zu einer entsprechenden Geldbuße um. Das Revisionsgericht kann auch in einem Beschluß nach § 349 Abs. 2 der Strafprozeßordnung so verfahren, wenn es die Revision im übrigen einstimmig für offensichtlich unbegründet erachtet. Hebt das Revisionsgericht das angefochtene Urteil auf, so kann es abweichend von § 354 Abs. 2 der Strafprozeßordnung die Sache an das Gericht, dessen Urteil aufgehoben wird, zurückverweisen.</w:t>
      </w:r>
    </w:p>
    <w:p>
      <w:r>
        <w:rPr>
          <w:color w:val="555555"/>
          <w:sz w:val="17"/>
        </w:rPr>
        <w:t xml:space="preserve">Zitiervorschlag: Art 317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