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316k StGBEG — Übergangsvorschrift zum Gesetz zur Verbesserung der strafrechtlichen Bekämpfung der Geldwäsche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02.07.2021 (konsolidierte Textfassung, kein amtliches Inkrafttretensdatum)</w:t>
      </w:r>
    </w:p>
    <w:p>
      <w:r>
        <w:t xml:space="preserve">Für die Einziehung von Gegenständen, die nach dem 17. März 2021 sichergestellt worden sind, gilt abweichend von § 2 Absatz 5 des Strafgesetzbuches § 76a Absatz 4 des Strafgesetzbuches in der ab dem 18. März 2021 geltenden Fassung; in allen anderen Fällen gilt das bisherige Recht.</w:t>
      </w:r>
    </w:p>
    <w:p>
      <w:r>
        <w:rPr>
          <w:color w:val="555555"/>
          <w:sz w:val="17"/>
        </w:rPr>
        <w:t xml:space="preserve">Zitiervorschlag: Art 316k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https://recht.nulegal.eu/gesetze/StGBEG/316k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