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316b StGBEG — Übergangsvorschrift zum Dreiundzwanzigsten Strafrechtsänderungsgesetz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67 Abs. 4 und § 67d Abs. 5 des Strafgesetzbuchs finden keine Anwendung auf Unterbringungen, die vor dem 1. Mai 1986 angeordnet worden sind; für die Anrechnung der Zeit des Vollzugs der Maßregel auf die Strafe gilt das bisherige Recht.</w:t>
      </w:r>
    </w:p>
    <w:p>
      <w:r>
        <w:t xml:space="preserve">(2) Ist jemand vor dem 1. Mai 1986 zu mehreren lebenslangen Freiheitsstrafen oder zu lebenslanger und zeitiger Freiheitsstrafe verurteilt worden, so ist § 460 der Strafprozeßordnung sinngemäß anzuwenden, wenn nach neuem Recht auf eine lebenslange Freiheitsstrafe als Gesamtstrafe erkannt worden wäre.</w:t>
      </w:r>
    </w:p>
    <w:p>
      <w:r>
        <w:rPr>
          <w:color w:val="555555"/>
          <w:sz w:val="17"/>
        </w:rPr>
        <w:t xml:space="preserve">Zitiervorschlag: Art 316b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https://recht.nulegal.eu/gesetze/StGBEG/316b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