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307 StGBEG — Verfall</w:t>
      </w:r>
    </w:p>
    <w:p>
      <w:r>
        <w:rPr>
          <w:color w:val="555555"/>
          <w:sz w:val="18"/>
        </w:rPr>
        <w:t xml:space="preserve">Einführungsgesetz zum Strafgesetzbuch</w:t>
      </w:r>
    </w:p>
    <w:p>
      <w:r>
        <w:rPr>
          <w:color w:val="555555"/>
          <w:sz w:val="18"/>
        </w:rPr>
        <w:t xml:space="preserve">Stand: 10.06.2019 (konsolidierte Textfassung, kein amtliches Inkrafttretensdatum)</w:t>
      </w:r>
    </w:p>
    <w:p>
      <w:r>
        <w:t xml:space="preserve">(1) Für die Anordnung des Verfalls wegen einer Tat, die vor dem 1. Januar 1975 begangen worden ist und über die nach diesem Zeitpunkt entschieden wird, gelten die Vorschriften des neuen Rechts</w:t>
      </w:r>
    </w:p>
    <w:p>
      <w:pPr>
        <w:ind w:left="420"/>
      </w:pPr>
      <w:r>
        <w:t xml:space="preserve">1. über die Voraussetzungen des Verfalls (§§ 73, 73a des Strafgesetzbuches), soweit das bisherige Recht den Verfall oder die Einziehung des Entgelts vorschreibt,</w:t>
      </w:r>
    </w:p>
    <w:p>
      <w:pPr>
        <w:ind w:left="420"/>
      </w:pPr>
      <w:r>
        <w:t xml:space="preserve">2. über die Schätzung, die Entscheidung in Härtefällen, die Wirkung des Verfalls und seine nachträgliche Anordnung (§§ 73b bis 73d, 76 des Strafgesetzbuches).</w:t>
      </w:r>
    </w:p>
    <w:p>
      <w:r>
        <w:t xml:space="preserve">(2) Die Anordnung des Verfalls ist auch insoweit zulässig, als nach § 27b des Strafgesetzbuches in der bisherigen Fassung eine höhere Geldstrafe hätte verhängt werden können als nach neuem Recht. An die Stelle der Anordnung des Verfalls eines Gegenstandes tritt der Verfall des Wertersatzes.</w:t>
      </w:r>
    </w:p>
    <w:p>
      <w:r>
        <w:t xml:space="preserve">(3) Absatz 1 Nr. 1 gilt nicht, soweit das bisherige Recht für den Betroffenen günstiger ist.</w:t>
      </w:r>
    </w:p>
    <w:p>
      <w:r>
        <w:rPr>
          <w:color w:val="555555"/>
          <w:sz w:val="17"/>
        </w:rPr>
        <w:t xml:space="preserve">Zitiervorschlag: Art 307 StGBEG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https://recht.nulegal.eu/gesetze/StGBEG/307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307 StGBEG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