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305 StGBEG — Berufsverbot</w:t>
      </w:r>
    </w:p>
    <w:p>
      <w:r>
        <w:rPr>
          <w:color w:val="555555"/>
          <w:sz w:val="18"/>
        </w:rPr>
        <w:t xml:space="preserve">Einführungsgesetz zum Strafgesetzbuch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Neben der Strafe, die wegen einer vor dem 1. Januar 1975 begangenen Tat verhängt wird, ordnet das Gericht das Berufsverbot nur an, wenn außer den Voraussetzungen des § 70 des Strafgesetzbuches auch die Voraussetzungen der Untersagung der Berufsausübung oder der Betriebsführung nach bisherigem Recht vorliegen. Das Berufsverbot darf in diesem Fall nicht für immer angeordnet werden.</w:t>
      </w:r>
    </w:p>
    <w:p>
      <w:r>
        <w:rPr>
          <w:color w:val="555555"/>
          <w:sz w:val="17"/>
        </w:rPr>
        <w:t xml:space="preserve">Zitiervorschlag: Art 305 StGBEG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https://recht.nulegal.eu/gesetze/StGBEG/305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