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304 StGBEG — Polizeiaufsicht</w:t>
      </w:r>
    </w:p>
    <w:p>
      <w:r>
        <w:rPr>
          <w:color w:val="555555"/>
          <w:sz w:val="18"/>
        </w:rPr>
        <w:t xml:space="preserve">Einführungsgesetz zum Strafgesetzbuch</w:t>
      </w:r>
    </w:p>
    <w:p>
      <w:r>
        <w:rPr>
          <w:color w:val="555555"/>
          <w:sz w:val="18"/>
        </w:rPr>
        <w:t xml:space="preserve">Stand: 10.06.2019 (konsolidierte Textfassung, kein amtliches Inkrafttretensdatum)</w:t>
      </w:r>
    </w:p>
    <w:p>
      <w:r>
        <w:t xml:space="preserve">Ist vor dem 1. Januar 1975 auf Zulässigkeit von Polizeiaufsicht erkannt worden, so verliert dieser Ausspruch seine Wirkung. Ist im Zentralregister bei einer Verurteilung die Zulässigkeit von Polizeiaufsicht eingetragen worden, so ist die Eintragung insoweit zu tilgen.</w:t>
      </w:r>
    </w:p>
    <w:p>
      <w:r>
        <w:rPr>
          <w:color w:val="555555"/>
          <w:sz w:val="17"/>
        </w:rPr>
        <w:t xml:space="preserve">Zitiervorschlag: Art 304 StGBEG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https://recht.nulegal.eu/gesetze/StGBEG/304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