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303 StGBEG — Führungsaufsicht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Wegen einer Tat, die vor dem 1. Januar 1975 begangen worden ist, darf Führungsaufsicht nach § 68 Abs. 1 des Strafgesetzbuches nicht angeordnet werden.</w:t>
      </w:r>
    </w:p>
    <w:p>
      <w:r>
        <w:t xml:space="preserve">(2) Nach Verbüßung einer Freiheitsstrafe wegen einer Tat, die vor dem 1. Januar 1975 begangen worden ist, tritt Führungsaufsicht nach § 68f des Strafgesetzbuches nicht ein.</w:t>
      </w:r>
    </w:p>
    <w:p>
      <w:r>
        <w:rPr>
          <w:color w:val="555555"/>
          <w:sz w:val="17"/>
        </w:rPr>
        <w:t xml:space="preserve">Zitiervorschlag: Art 303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