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StGBEG — Zulässige Rechtsfolgen bei Straftaten nach Landesrecht</w:t>
      </w:r>
    </w:p>
    <w:p>
      <w:r>
        <w:rPr>
          <w:color w:val="555555"/>
          <w:sz w:val="18"/>
        </w:rPr>
        <w:t xml:space="preserve">Einführungsgesetz zum 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Vorschriften des Landesrechts dürfen bei Straftaten keine anderen Rechtsfolgen vorsehen als</w:t>
      </w:r>
    </w:p>
    <w:p>
      <w:pPr>
        <w:ind w:left="420"/>
      </w:pPr>
      <w:r>
        <w:t xml:space="preserve">1. Freiheitsstrafe bis zu zwei Jahren und wahlweise Geldstrafe bis zum gesetzlichen Höchstmaß (§ 40 Abs. 1 Satz 2, Abs. 2 Satz 3 des Strafgesetzbuches),</w:t>
      </w:r>
    </w:p>
    <w:p>
      <w:pPr>
        <w:ind w:left="420"/>
      </w:pPr>
      <w:r>
        <w:t xml:space="preserve">2. Einziehung von Gegenständen im Sinne der §§ 74 bis 74b und 74d des Strafgesetzbuches.</w:t>
      </w:r>
    </w:p>
    <w:p>
      <w:r>
        <w:t xml:space="preserve">(2) Vorschriften des Landesrechts dürfen</w:t>
      </w:r>
    </w:p>
    <w:p>
      <w:pPr>
        <w:ind w:left="420"/>
      </w:pPr>
      <w:r>
        <w:t xml:space="preserve">1. weder Freiheitsstrafe noch Geldstrafe allein und</w:t>
      </w:r>
    </w:p>
    <w:p>
      <w:pPr>
        <w:ind w:left="420"/>
      </w:pPr>
      <w:r>
        <w:t xml:space="preserve">2. bei Freiheitsstrafe kein anderes Mindestmaß als das gesetzliche (§ 38 Abs. 2 des Strafgesetzbuches) und kein niedrigeres Höchstmaß als sechs Monate</w:t>
      </w:r>
    </w:p>
    <w:p>
      <w:r>
        <w:t xml:space="preserve">androhen.</w:t>
      </w:r>
    </w:p>
    <w:p>
      <w:r>
        <w:rPr>
          <w:color w:val="555555"/>
          <w:sz w:val="17"/>
        </w:rPr>
        <w:t xml:space="preserve">Zitiervorschlag: Art 3 StGBEG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https://recht.nulegal.eu/gesetze/StGBEG/3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