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298 StGBEG — Mindestmaß der Freiheitsstrafe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Freiheitsstrafe unter einem Monat darf auch wegen solcher Taten nicht verhängt werden, die vor dem 1. Januar 1975 begangen worden sind.</w:t>
      </w:r>
    </w:p>
    <w:p>
      <w:r>
        <w:t xml:space="preserve">(2) Hätte das Gericht nach bisherigem Recht eine Freiheitsstrafe unter einem Monat verhängt, so erkennt es auf eine Geldstrafe bis zu dreißig Tagessätzen.</w:t>
      </w:r>
    </w:p>
    <w:p>
      <w:r>
        <w:rPr>
          <w:color w:val="555555"/>
          <w:sz w:val="17"/>
        </w:rPr>
        <w:t xml:space="preserve">Zitiervorschlag: Art 298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https://recht.nulegal.eu/gesetze/StGBEG/298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