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291 StGBEG — Rücknahme des Strafantrages, Buße zugunsten des Verletzten</w:t>
      </w:r>
    </w:p>
    <w:p>
      <w:r>
        <w:rPr>
          <w:color w:val="555555"/>
          <w:sz w:val="18"/>
        </w:rPr>
        <w:t xml:space="preserve">Einführungsgesetz zum 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Vorschriften sind nicht mehr anzuwenden, soweit sie</w:t>
      </w:r>
    </w:p>
    <w:p>
      <w:pPr>
        <w:ind w:left="420"/>
      </w:pPr>
      <w:r>
        <w:t xml:space="preserve">1. die Rücknahme des Strafantrags regeln oder</w:t>
      </w:r>
    </w:p>
    <w:p>
      <w:pPr>
        <w:ind w:left="420"/>
      </w:pPr>
      <w:r>
        <w:t xml:space="preserve">2. bestimmen, daß zugunsten des Verletzten einer Straftat auf eine Buße erkannt werden kann.</w:t>
      </w:r>
    </w:p>
    <w:p>
      <w:r>
        <w:rPr>
          <w:color w:val="555555"/>
          <w:sz w:val="17"/>
        </w:rPr>
        <w:t xml:space="preserve">Zitiervorschlag: Art 291 StGBEG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https://recht.nulegal.eu/gesetze/StGBEG/291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