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290 StGBEG — Geldstrafdrohungen</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Auf Geldstrafe kann auch dann erkannt werden, wenn das Gesetz neben Freiheitsstrafe wahlweise keine Geldstrafe androht.</w:t>
      </w:r>
    </w:p>
    <w:p>
      <w:r>
        <w:t xml:space="preserve">(2) Droht das Gesetz neben Freiheitsstrafe mit einem Höchstmaß von mehr als sechs Monaten wahlweise Geldstrafe von unbeschränkter Höhe oder mit einem besonderen Höchstmaß oder mit einem Höchstmaß an, das in dem Mehrfachen, Einfachen oder Bruchteil eines bestimmten Betrages besteht, so kann auf Geldstrafe bis zum gesetzlichen Höchstmaß erkannt werden. Beträgt das Höchstmaß der wahlweise angedrohten Freiheitsstrafe nur sechs Monate, so kann auf Geldstrafe bis zu einhundertachtzig Tagessätzen erkannt werden.</w:t>
      </w:r>
    </w:p>
    <w:p>
      <w:r>
        <w:t xml:space="preserve">(3) Vorschriften sind nicht mehr anzuwenden, soweit sie Geldstrafe neben Freiheitsstrafe vorschreiben oder zulassen.</w:t>
      </w:r>
    </w:p>
    <w:p>
      <w:r>
        <w:rPr>
          <w:color w:val="555555"/>
          <w:sz w:val="17"/>
        </w:rPr>
        <w:t xml:space="preserve">Zitiervorschlag: Art 290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https://recht.nulegal.eu/gesetze/StGBEG/290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