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StGBEG — Vorbehalte für das Landesrecht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Allgemeinen Teils des Strafgesetzbuches lassen Vorschriften des Landesrechts unberührt, die bei einzelnen landesrechtlichen Straftatbeständen</w:t>
      </w:r>
    </w:p>
    <w:p>
      <w:pPr>
        <w:ind w:left="420"/>
      </w:pPr>
      <w:r>
        <w:t xml:space="preserve">1. den Geltungsbereich abweichend von den §§ 3 bis 7 des Strafgesetzbuches bestimmen oder</w:t>
      </w:r>
    </w:p>
    <w:p>
      <w:pPr>
        <w:ind w:left="420"/>
      </w:pPr>
      <w:r>
        <w:t xml:space="preserve">2. unter besonderen Voraussetzungen Straflosigkeit vorsehen.</w:t>
      </w:r>
    </w:p>
    <w:p>
      <w:r>
        <w:rPr>
          <w:color w:val="555555"/>
          <w:sz w:val="17"/>
        </w:rPr>
        <w:t xml:space="preserve">Zitiervorschlag: Art 2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