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StGBEG — Freiheitsstrafdrohungen</w:t>
      </w:r>
    </w:p>
    <w:p>
      <w:r>
        <w:rPr>
          <w:color w:val="555555"/>
          <w:sz w:val="18"/>
        </w:rPr>
        <w:t xml:space="preserve">Einführungsgesetz zum 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das Gesetz Freiheitsstrafe mit einem besonderen Mindestmaß an, das einen Monat oder weniger beträgt, so entfällt die Androhung dieses Mindestmaßes.</w:t>
      </w:r>
    </w:p>
    <w:p>
      <w:r>
        <w:rPr>
          <w:color w:val="555555"/>
          <w:sz w:val="17"/>
        </w:rPr>
        <w:t xml:space="preserve">Zitiervorschlag: Art 11 StGBEG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https://recht.nulegal.eu/gesetze/StGBEG/11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