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StGBEG — Geltung des Allgemeinen Teils</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Die Vorschriften des Allgemeinen Teils des Strafgesetzbuches gelten für das bei seinem Inkrafttreten bestehende und das zukünftige Bundesrecht, soweit das Gesetz nichts anderes bestimmt.</w:t>
      </w:r>
    </w:p>
    <w:p>
      <w:r>
        <w:t xml:space="preserve">(2) Die Vorschriften des Allgemeinen Teils des Strafgesetzbuches gelten auch für das bei seinem Inkrafttreten bestehende und das zukünftige Landesrecht. Sie gelten nicht, soweit das Bundesrecht besondere Vorschriften des Landesrechts zuläßt und das Landesrecht derartige Vorschriften enthält.</w:t>
      </w:r>
    </w:p>
    <w:p>
      <w:r>
        <w:rPr>
          <w:color w:val="555555"/>
          <w:sz w:val="17"/>
        </w:rPr>
        <w:t xml:space="preserve">Zitiervorschlag: Art 1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StGBEG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