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86a StGB — Verwenden von Kennzeichen verfassungswidriger und terroristischer Organisationen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08.10.2021 (konsolidierte Textfassung, kein amtliches Inkrafttretensdatum)</w:t>
      </w:r>
    </w:p>
    <w:p>
      <w:r>
        <w:t xml:space="preserve">(1) Mit Freiheitsstrafe bis zu drei Jahren oder mit Geldstrafe wird bestraft, wer</w:t>
      </w:r>
    </w:p>
    <w:p>
      <w:pPr>
        <w:ind w:left="420"/>
      </w:pPr>
      <w:r>
        <w:t xml:space="preserve">1. im Inland Kennzeichen einer der in § 86 Abs. 1 Nr. 1, 2 und 4 oder Absatz 2 bezeichneten Parteien oder Vereinigungen verbreitet oder öffentlich, in einer Versammlung oder in einem von ihm verbreiteten Inhalt (§ 11 Absatz 3) verwendet oder</w:t>
      </w:r>
    </w:p>
    <w:p>
      <w:pPr>
        <w:ind w:left="420"/>
      </w:pPr>
      <w:r>
        <w:t xml:space="preserve">2. einen Inhalt (§ 11 Absatz 3), der ein derartiges Kennzeichen darstellt oder enthält, zur Verbreitung oder Verwendung im Inland oder Ausland in der in Nummer 1 bezeichneten Art und Weise herstellt, vorrätig hält, einführt oder ausführt.</w:t>
      </w:r>
    </w:p>
    <w:p>
      <w:r>
        <w:t xml:space="preserve">(2) Kennzeichen im Sinne des Absatzes 1 sind namentlich Fahnen, Abzeichen, Uniformstücke, Parolen und Grußformen. Den in Satz 1 genannten Kennzeichen stehen solche gleich, die ihnen zum Verwechseln ähnlich sind.</w:t>
      </w:r>
    </w:p>
    <w:p>
      <w:r>
        <w:t xml:space="preserve">(3) § 86 Abs. 4 und 5 gilt entsprechend.</w:t>
      </w:r>
    </w:p>
    <w:p>
      <w:r>
        <w:rPr>
          <w:color w:val="555555"/>
          <w:sz w:val="17"/>
        </w:rPr>
        <w:t xml:space="preserve">Zitiervorschlag: § 86a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https://recht.nulegal.eu/gesetze/StGB/86a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