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StGB — Fortführung einer für verfassungswidrig erklärten Partei</w:t>
      </w:r>
    </w:p>
    <w:p>
      <w:r>
        <w:rPr>
          <w:color w:val="555555"/>
          <w:sz w:val="18"/>
        </w:rPr>
        <w:t xml:space="preserve">Strafgesetzbuch</w:t>
      </w:r>
    </w:p>
    <w:p>
      <w:r>
        <w:rPr>
          <w:color w:val="555555"/>
          <w:sz w:val="18"/>
        </w:rPr>
        <w:t xml:space="preserve">Stand: 10.06.2019 (konsolidierte Textfassung, kein amtliches Inkrafttretensdatum)</w:t>
      </w:r>
    </w:p>
    <w:p>
      <w:r>
        <w:t xml:space="preserve">(1) Wer als Rädelsführer oder Hintermann im räumlichen Geltungsbereich dieses Gesetzes den organisatorischen Zusammenhalt</w:t>
      </w:r>
    </w:p>
    <w:p>
      <w:pPr>
        <w:ind w:left="420"/>
      </w:pPr>
      <w:r>
        <w:t xml:space="preserve">1. einer vom Bundesverfassungsgericht für verfassungswidrig erklärten Partei oder</w:t>
      </w:r>
    </w:p>
    <w:p>
      <w:pPr>
        <w:ind w:left="420"/>
      </w:pPr>
      <w:r>
        <w:t xml:space="preserve">2. einer Partei, von der das Bundesverfassungsgericht festgestellt hat, daß sie Ersatzorganisation einer verbotenen Partei ist,</w:t>
      </w:r>
    </w:p>
    <w:p>
      <w:r>
        <w:t xml:space="preserve">aufrechterhält, wird mit Freiheitsstrafe von drei Monaten bis zu fünf Jahren bestraft. Der Versuch ist strafbar.</w:t>
      </w:r>
    </w:p>
    <w:p>
      <w:r>
        <w:t xml:space="preserve">(2) Wer sich in einer Partei der in Absatz 1 bezeichneten Art als Mitglied betätigt oder wer ihren organisatorischen Zusammenhalt oder ihre weitere Betätigung unterstützt, wird mit Freiheitsstrafe bis zu fünf Jahren oder mit Geldstrafe bestraft.</w:t>
      </w:r>
    </w:p>
    <w:p>
      <w:r>
        <w:t xml:space="preserve">(3) Wer einer anderen Sachentscheidung des Bundesverfassungsgerichts, die im Verfahren nach Artikel 21 Abs. 2 des Grundgesetzes oder im Verfahren nach § 33 Abs. 2 des Parteiengesetzes erlassen ist, oder einer vollziehbaren Maßnahme zuwiderhandelt, die im Vollzug einer in einem solchen Verfahren ergangenen Sachentscheidung getroffen ist, wird mit Freiheitsstrafe bis zu fünf Jahren oder mit Geldstrafe bestraft. Den in Satz 1 bezeichneten Verfahren steht ein Verfahren nach Artikel 18 des Grundgesetzes gleich.</w:t>
      </w:r>
    </w:p>
    <w:p>
      <w:r>
        <w:t xml:space="preserve">(4) In den Fällen des Absatzes 1 Satz 2 und der Absätze 2 und 3 Satz 1 kann das Gericht bei Beteiligten, deren Schuld gering und deren Mitwirkung von untergeordneter Bedeutung ist, die Strafe nach seinem Ermessen mildern (§ 49 Abs. 2) oder von einer Bestrafung nach diesen Vorschriften absehen.</w:t>
      </w:r>
    </w:p>
    <w:p>
      <w:r>
        <w:t xml:space="preserve">(5) In den Fällen der Absätze 1 bis 3 Satz 1 kann das Gericht die Strafe nach seinem Ermessen mildern (§ 49 Abs. 2) oder von einer Bestrafung nach diesen Vorschriften absehen, wenn der Täter sich freiwillig und ernsthaft bemüht, das Fortbestehen der Partei zu verhindern; erreicht er dieses Ziel oder wird es ohne sein Bemühen erreicht, so wird der Täter nicht bestraft.</w:t>
      </w:r>
    </w:p>
    <w:p>
      <w:r>
        <w:rPr>
          <w:color w:val="555555"/>
          <w:sz w:val="17"/>
        </w:rPr>
        <w:t xml:space="preserve">Zitiervorschlag: § 84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