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82 StGB — Hochverrat gegen ein Land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es unternimmt, mit Gewalt oder durch Drohung mit Gewalt</w:t>
      </w:r>
    </w:p>
    <w:p>
      <w:pPr>
        <w:ind w:left="420"/>
      </w:pPr>
      <w:r>
        <w:t xml:space="preserve">1. das Gebiet eines Landes ganz oder zum Teil einem anderen Land der Bundesrepublik Deutschland einzuverleiben oder einen Teil eines Landes von diesem abzutrennen oder</w:t>
      </w:r>
    </w:p>
    <w:p>
      <w:pPr>
        <w:ind w:left="420"/>
      </w:pPr>
      <w:r>
        <w:t xml:space="preserve">2. die auf der Verfassung eines Landes beruhende verfassungsmäßige Ordnung zu ändern,</w:t>
      </w:r>
    </w:p>
    <w:p>
      <w:r>
        <w:t xml:space="preserve">wird mit Freiheitsstrafe von einem Jahr bis zu zehn Jahren bestraft.</w:t>
      </w:r>
    </w:p>
    <w:p>
      <w:r>
        <w:t xml:space="preserve">(2) In minder schweren Fällen ist die Strafe Freiheitsstrafe von sechs Monaten bis zu fünf Jahren.</w:t>
      </w:r>
    </w:p>
    <w:p>
      <w:r>
        <w:rPr>
          <w:color w:val="555555"/>
          <w:sz w:val="17"/>
        </w:rPr>
        <w:t xml:space="preserve">Zitiervorschlag: § 82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https://recht.nulegal.eu/gesetze/StGB/82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