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80a StGB — Aufstacheln zum Verbrechen der Aggression</w:t>
      </w:r>
    </w:p>
    <w:p>
      <w:r>
        <w:rPr>
          <w:color w:val="555555"/>
          <w:sz w:val="18"/>
        </w:rPr>
        <w:t xml:space="preserve">Strafgesetzbuch</w:t>
      </w:r>
    </w:p>
    <w:p>
      <w:r>
        <w:rPr>
          <w:color w:val="555555"/>
          <w:sz w:val="18"/>
        </w:rPr>
        <w:t xml:space="preserve">Stand: 01.01.2021 (konsolidierte Textfassung, kein amtliches Inkrafttretensdatum)</w:t>
      </w:r>
    </w:p>
    <w:p>
      <w:r>
        <w:t xml:space="preserve">Wer im räumlichen Geltungsbereich dieses Gesetzes öffentlich, in einer Versammlung oder durch Verbreiten eines Inhalts (§ 11 Absatz 3) zum Verbrechen der Aggression (§ 13 des Völkerstrafgesetzbuches) aufstachelt, wird mit Freiheitsstrafe von drei Monaten bis zu fünf Jahren bestraft.</w:t>
      </w:r>
    </w:p>
    <w:p>
      <w:r>
        <w:rPr>
          <w:color w:val="555555"/>
          <w:sz w:val="17"/>
        </w:rPr>
        <w:t xml:space="preserve">Zitiervorschlag: § 80a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https://recht.nulegal.eu/gesetze/StGB/80a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